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EB4F" w14:textId="191756B3" w:rsidR="008D049D" w:rsidRDefault="0085498B" w:rsidP="0036634E">
      <w:pPr>
        <w:jc w:val="center"/>
        <w:rPr>
          <w:b/>
          <w:bCs/>
          <w:sz w:val="36"/>
          <w:szCs w:val="36"/>
        </w:rPr>
      </w:pPr>
      <w:r>
        <w:rPr>
          <w:b/>
          <w:bCs/>
          <w:sz w:val="36"/>
          <w:szCs w:val="36"/>
        </w:rPr>
        <w:t>DOI</w:t>
      </w:r>
      <w:r w:rsidR="00B13DCB" w:rsidRPr="00B13DCB">
        <w:rPr>
          <w:b/>
          <w:bCs/>
          <w:sz w:val="36"/>
          <w:szCs w:val="36"/>
        </w:rPr>
        <w:t xml:space="preserve"> Self-Governance Advisory Committee </w:t>
      </w:r>
      <w:r w:rsidR="00CE0EE9">
        <w:rPr>
          <w:b/>
          <w:bCs/>
          <w:sz w:val="36"/>
          <w:szCs w:val="36"/>
        </w:rPr>
        <w:t xml:space="preserve">(SGAC) </w:t>
      </w:r>
    </w:p>
    <w:p w14:paraId="4216AECD" w14:textId="3037F2B6" w:rsidR="0036634E" w:rsidRDefault="00B13DCB" w:rsidP="0036634E">
      <w:pPr>
        <w:jc w:val="center"/>
        <w:rPr>
          <w:b/>
          <w:bCs/>
          <w:sz w:val="36"/>
          <w:szCs w:val="36"/>
        </w:rPr>
      </w:pPr>
      <w:r w:rsidRPr="00B13DCB">
        <w:rPr>
          <w:b/>
          <w:bCs/>
          <w:sz w:val="36"/>
          <w:szCs w:val="36"/>
        </w:rPr>
        <w:t>Meeting</w:t>
      </w:r>
      <w:r w:rsidR="00CE0EE9">
        <w:rPr>
          <w:b/>
          <w:bCs/>
          <w:sz w:val="36"/>
          <w:szCs w:val="36"/>
        </w:rPr>
        <w:t xml:space="preserve"> S</w:t>
      </w:r>
      <w:r w:rsidR="00C067B2">
        <w:rPr>
          <w:b/>
          <w:bCs/>
          <w:sz w:val="36"/>
          <w:szCs w:val="36"/>
        </w:rPr>
        <w:t>ummary</w:t>
      </w:r>
    </w:p>
    <w:p w14:paraId="5741DC12" w14:textId="703A7A72" w:rsidR="00B13DCB" w:rsidRPr="0036634E" w:rsidRDefault="00671752" w:rsidP="0036634E">
      <w:pPr>
        <w:jc w:val="center"/>
        <w:rPr>
          <w:b/>
          <w:bCs/>
          <w:sz w:val="36"/>
          <w:szCs w:val="36"/>
        </w:rPr>
      </w:pPr>
      <w:r>
        <w:rPr>
          <w:b/>
          <w:bCs/>
          <w:sz w:val="24"/>
          <w:szCs w:val="24"/>
        </w:rPr>
        <w:t>August 29</w:t>
      </w:r>
      <w:r w:rsidR="008E1F03">
        <w:rPr>
          <w:b/>
          <w:bCs/>
          <w:sz w:val="24"/>
          <w:szCs w:val="24"/>
        </w:rPr>
        <w:t xml:space="preserve"> - </w:t>
      </w:r>
      <w:r>
        <w:rPr>
          <w:b/>
          <w:bCs/>
          <w:sz w:val="24"/>
          <w:szCs w:val="24"/>
        </w:rPr>
        <w:t>30</w:t>
      </w:r>
      <w:r w:rsidR="00CE0EE9" w:rsidRPr="009C203D">
        <w:rPr>
          <w:b/>
          <w:bCs/>
          <w:sz w:val="24"/>
          <w:szCs w:val="24"/>
        </w:rPr>
        <w:t>, 202</w:t>
      </w:r>
      <w:r w:rsidR="00DC48F0">
        <w:rPr>
          <w:b/>
          <w:bCs/>
          <w:sz w:val="24"/>
          <w:szCs w:val="24"/>
        </w:rPr>
        <w:t>3</w:t>
      </w:r>
    </w:p>
    <w:p w14:paraId="729E7891" w14:textId="45DA2F99" w:rsidR="0035694A" w:rsidRPr="0035694A" w:rsidRDefault="008E1F03" w:rsidP="0035694A">
      <w:pPr>
        <w:spacing w:after="0" w:line="240" w:lineRule="auto"/>
        <w:jc w:val="center"/>
        <w:rPr>
          <w:b/>
          <w:bCs/>
          <w:sz w:val="28"/>
          <w:szCs w:val="28"/>
        </w:rPr>
      </w:pPr>
      <w:bookmarkStart w:id="0" w:name="_Hlk120957974"/>
      <w:r>
        <w:rPr>
          <w:b/>
          <w:bCs/>
          <w:sz w:val="28"/>
          <w:szCs w:val="28"/>
        </w:rPr>
        <w:t>Embassy Suites</w:t>
      </w:r>
    </w:p>
    <w:p w14:paraId="11A0C599" w14:textId="2C0C6584" w:rsidR="0035694A" w:rsidRPr="0035694A" w:rsidRDefault="008E1F03" w:rsidP="0035694A">
      <w:pPr>
        <w:spacing w:after="0" w:line="240" w:lineRule="auto"/>
        <w:jc w:val="center"/>
        <w:rPr>
          <w:sz w:val="24"/>
          <w:szCs w:val="24"/>
        </w:rPr>
      </w:pPr>
      <w:r>
        <w:rPr>
          <w:sz w:val="24"/>
          <w:szCs w:val="24"/>
        </w:rPr>
        <w:t>900 10</w:t>
      </w:r>
      <w:r w:rsidR="0035694A" w:rsidRPr="0035694A">
        <w:rPr>
          <w:sz w:val="24"/>
          <w:szCs w:val="24"/>
          <w:vertAlign w:val="superscript"/>
        </w:rPr>
        <w:t>th</w:t>
      </w:r>
      <w:r w:rsidR="0035694A" w:rsidRPr="0035694A">
        <w:rPr>
          <w:sz w:val="24"/>
          <w:szCs w:val="24"/>
        </w:rPr>
        <w:t xml:space="preserve"> Street NW</w:t>
      </w:r>
    </w:p>
    <w:p w14:paraId="3D0DA240" w14:textId="7D127549" w:rsidR="006D2B34" w:rsidRDefault="008D049D" w:rsidP="0035694A">
      <w:pPr>
        <w:spacing w:after="0" w:line="240" w:lineRule="auto"/>
        <w:jc w:val="center"/>
        <w:rPr>
          <w:sz w:val="24"/>
          <w:szCs w:val="24"/>
        </w:rPr>
      </w:pPr>
      <w:r w:rsidRPr="0035694A">
        <w:rPr>
          <w:sz w:val="24"/>
          <w:szCs w:val="24"/>
        </w:rPr>
        <w:t>Washington, D.C.</w:t>
      </w:r>
      <w:r w:rsidR="0035694A" w:rsidRPr="0035694A">
        <w:rPr>
          <w:sz w:val="24"/>
          <w:szCs w:val="24"/>
        </w:rPr>
        <w:t>, 200</w:t>
      </w:r>
      <w:r w:rsidR="008E1F03">
        <w:rPr>
          <w:sz w:val="24"/>
          <w:szCs w:val="24"/>
        </w:rPr>
        <w:t>01</w:t>
      </w:r>
    </w:p>
    <w:p w14:paraId="4E8DACF4" w14:textId="77777777" w:rsidR="007129F1" w:rsidRDefault="007129F1" w:rsidP="0035694A">
      <w:pPr>
        <w:spacing w:after="0" w:line="240" w:lineRule="auto"/>
        <w:jc w:val="center"/>
        <w:rPr>
          <w:sz w:val="24"/>
          <w:szCs w:val="24"/>
        </w:rPr>
      </w:pPr>
    </w:p>
    <w:p w14:paraId="5545B652" w14:textId="77777777" w:rsidR="00ED03C7" w:rsidRDefault="00ED03C7" w:rsidP="0035694A">
      <w:pPr>
        <w:spacing w:after="0" w:line="240" w:lineRule="auto"/>
        <w:jc w:val="center"/>
        <w:rPr>
          <w:sz w:val="24"/>
          <w:szCs w:val="24"/>
        </w:rPr>
      </w:pPr>
    </w:p>
    <w:p w14:paraId="7CBFD583" w14:textId="44CDF9E3" w:rsidR="00ED03C7" w:rsidRPr="00375521" w:rsidRDefault="00ED03C7" w:rsidP="0035694A">
      <w:pPr>
        <w:spacing w:after="0" w:line="240" w:lineRule="auto"/>
        <w:jc w:val="center"/>
        <w:rPr>
          <w:b/>
          <w:bCs/>
          <w:sz w:val="24"/>
          <w:szCs w:val="24"/>
        </w:rPr>
      </w:pPr>
      <w:r w:rsidRPr="00375521">
        <w:rPr>
          <w:b/>
          <w:bCs/>
          <w:sz w:val="24"/>
          <w:szCs w:val="24"/>
        </w:rPr>
        <w:t>Tuesday, August</w:t>
      </w:r>
      <w:r w:rsidR="00375521" w:rsidRPr="00375521">
        <w:rPr>
          <w:b/>
          <w:bCs/>
          <w:sz w:val="24"/>
          <w:szCs w:val="24"/>
        </w:rPr>
        <w:t xml:space="preserve"> 29 </w:t>
      </w:r>
    </w:p>
    <w:p w14:paraId="4F109874" w14:textId="77777777" w:rsidR="00375521" w:rsidRDefault="00375521" w:rsidP="0035694A">
      <w:pPr>
        <w:spacing w:after="0" w:line="240" w:lineRule="auto"/>
        <w:jc w:val="center"/>
        <w:rPr>
          <w:sz w:val="24"/>
          <w:szCs w:val="24"/>
        </w:rPr>
      </w:pPr>
    </w:p>
    <w:bookmarkEnd w:id="0"/>
    <w:p w14:paraId="713F59AD" w14:textId="70CC1907" w:rsidR="00B55953" w:rsidRPr="009C203D" w:rsidRDefault="00CE0EE9" w:rsidP="00F36512">
      <w:pPr>
        <w:rPr>
          <w:b/>
          <w:bCs/>
          <w:sz w:val="24"/>
          <w:szCs w:val="24"/>
          <w:u w:val="single"/>
        </w:rPr>
      </w:pPr>
      <w:r w:rsidRPr="009C203D">
        <w:rPr>
          <w:b/>
          <w:bCs/>
          <w:sz w:val="24"/>
          <w:szCs w:val="24"/>
          <w:u w:val="single"/>
        </w:rPr>
        <w:t xml:space="preserve">Attendance: </w:t>
      </w:r>
    </w:p>
    <w:p w14:paraId="08281212" w14:textId="488B8F98" w:rsidR="00B712BA" w:rsidRPr="009C203D" w:rsidRDefault="00CE0EE9" w:rsidP="00F36512">
      <w:pPr>
        <w:rPr>
          <w:sz w:val="24"/>
          <w:szCs w:val="24"/>
        </w:rPr>
      </w:pPr>
      <w:r w:rsidRPr="009C203D">
        <w:rPr>
          <w:sz w:val="24"/>
          <w:szCs w:val="24"/>
        </w:rPr>
        <w:t>A quorum was established for the</w:t>
      </w:r>
      <w:r w:rsidR="0042578B" w:rsidRPr="009C203D">
        <w:rPr>
          <w:sz w:val="24"/>
          <w:szCs w:val="24"/>
        </w:rPr>
        <w:t xml:space="preserve"> </w:t>
      </w:r>
      <w:r w:rsidRPr="009C203D">
        <w:rPr>
          <w:sz w:val="24"/>
          <w:szCs w:val="24"/>
        </w:rPr>
        <w:t xml:space="preserve">SGAC meeting. </w:t>
      </w:r>
    </w:p>
    <w:p w14:paraId="64BACFC1" w14:textId="2DF80844" w:rsidR="00B712BA" w:rsidRDefault="00CE0EE9" w:rsidP="00F36512">
      <w:pPr>
        <w:rPr>
          <w:b/>
          <w:bCs/>
          <w:sz w:val="24"/>
          <w:szCs w:val="24"/>
          <w:u w:val="single"/>
        </w:rPr>
      </w:pPr>
      <w:r w:rsidRPr="009C203D">
        <w:rPr>
          <w:b/>
          <w:bCs/>
          <w:sz w:val="24"/>
          <w:szCs w:val="24"/>
          <w:u w:val="single"/>
        </w:rPr>
        <w:t xml:space="preserve">Committee Business: </w:t>
      </w:r>
    </w:p>
    <w:p w14:paraId="6E2E61D3" w14:textId="0FF55D91" w:rsidR="006B3D3B" w:rsidRPr="00A23939" w:rsidRDefault="00FE57E7" w:rsidP="00A23939">
      <w:pPr>
        <w:pStyle w:val="ListParagraph"/>
        <w:numPr>
          <w:ilvl w:val="0"/>
          <w:numId w:val="7"/>
        </w:numPr>
        <w:spacing w:after="0" w:line="240" w:lineRule="auto"/>
        <w:rPr>
          <w:sz w:val="24"/>
          <w:szCs w:val="24"/>
        </w:rPr>
      </w:pPr>
      <w:r w:rsidRPr="00A23939">
        <w:rPr>
          <w:sz w:val="24"/>
          <w:szCs w:val="24"/>
        </w:rPr>
        <w:t xml:space="preserve">The </w:t>
      </w:r>
      <w:r w:rsidR="00CB47EE">
        <w:rPr>
          <w:sz w:val="24"/>
          <w:szCs w:val="24"/>
        </w:rPr>
        <w:t xml:space="preserve">March 2023 meeting </w:t>
      </w:r>
      <w:r w:rsidR="00E8649C" w:rsidRPr="00A23939">
        <w:rPr>
          <w:sz w:val="24"/>
          <w:szCs w:val="24"/>
        </w:rPr>
        <w:t>minutes</w:t>
      </w:r>
      <w:r w:rsidR="006B3D3B" w:rsidRPr="00A23939">
        <w:rPr>
          <w:sz w:val="24"/>
          <w:szCs w:val="24"/>
        </w:rPr>
        <w:t xml:space="preserve"> w</w:t>
      </w:r>
      <w:r w:rsidR="006C2244">
        <w:rPr>
          <w:sz w:val="24"/>
          <w:szCs w:val="24"/>
        </w:rPr>
        <w:t>ere</w:t>
      </w:r>
      <w:r w:rsidR="006B3D3B" w:rsidRPr="00A23939">
        <w:rPr>
          <w:sz w:val="24"/>
          <w:szCs w:val="24"/>
        </w:rPr>
        <w:t xml:space="preserve"> approved.</w:t>
      </w:r>
    </w:p>
    <w:p w14:paraId="7CFE85F0" w14:textId="77777777" w:rsidR="004A4ECC" w:rsidRPr="00ED03C7" w:rsidRDefault="004A4ECC" w:rsidP="00D16492">
      <w:pPr>
        <w:spacing w:after="0" w:line="240" w:lineRule="auto"/>
        <w:rPr>
          <w:sz w:val="24"/>
          <w:szCs w:val="24"/>
        </w:rPr>
      </w:pPr>
    </w:p>
    <w:p w14:paraId="25AE7450" w14:textId="77777777" w:rsidR="004A4ECC" w:rsidRDefault="004A4ECC" w:rsidP="004A4ECC">
      <w:pPr>
        <w:spacing w:after="0" w:line="240" w:lineRule="auto"/>
        <w:rPr>
          <w:b/>
          <w:bCs/>
          <w:sz w:val="24"/>
          <w:szCs w:val="24"/>
          <w:u w:val="single"/>
        </w:rPr>
      </w:pPr>
      <w:r w:rsidRPr="009D0459">
        <w:rPr>
          <w:b/>
          <w:bCs/>
          <w:sz w:val="24"/>
          <w:szCs w:val="24"/>
          <w:u w:val="single"/>
        </w:rPr>
        <w:t>Discussion with Assistant Secretary Bryan Newland</w:t>
      </w:r>
    </w:p>
    <w:p w14:paraId="30B0F129" w14:textId="0D9BCB00" w:rsidR="004A4ECC" w:rsidRPr="00071BB5" w:rsidRDefault="00FB7EF1" w:rsidP="004A4ECC">
      <w:pPr>
        <w:spacing w:after="0" w:line="240" w:lineRule="auto"/>
        <w:rPr>
          <w:i/>
          <w:iCs/>
          <w:sz w:val="24"/>
          <w:szCs w:val="24"/>
        </w:rPr>
      </w:pPr>
      <w:r w:rsidRPr="00071BB5">
        <w:rPr>
          <w:i/>
          <w:iCs/>
          <w:sz w:val="24"/>
          <w:szCs w:val="24"/>
        </w:rPr>
        <w:t>Brian Newland</w:t>
      </w:r>
      <w:r w:rsidR="00D16B97">
        <w:rPr>
          <w:i/>
          <w:iCs/>
          <w:sz w:val="24"/>
          <w:szCs w:val="24"/>
        </w:rPr>
        <w:t>, Assistant Secretary – Indian Affairs, DOI</w:t>
      </w:r>
    </w:p>
    <w:p w14:paraId="63FF7D2A" w14:textId="77777777" w:rsidR="00071BB5" w:rsidRDefault="00071BB5" w:rsidP="0099558B">
      <w:pPr>
        <w:spacing w:after="0" w:line="240" w:lineRule="auto"/>
        <w:rPr>
          <w:b/>
          <w:bCs/>
          <w:sz w:val="24"/>
          <w:szCs w:val="24"/>
        </w:rPr>
      </w:pPr>
    </w:p>
    <w:p w14:paraId="7632A139" w14:textId="1E0C96BC" w:rsidR="00FE6ADE" w:rsidRPr="00FE6ADE" w:rsidRDefault="00FE6ADE" w:rsidP="0099558B">
      <w:pPr>
        <w:spacing w:after="0" w:line="240" w:lineRule="auto"/>
        <w:rPr>
          <w:b/>
          <w:bCs/>
          <w:sz w:val="24"/>
          <w:szCs w:val="24"/>
        </w:rPr>
      </w:pPr>
      <w:r w:rsidRPr="00FE6ADE">
        <w:rPr>
          <w:b/>
          <w:bCs/>
          <w:sz w:val="24"/>
          <w:szCs w:val="24"/>
        </w:rPr>
        <w:t>Secretary Newland</w:t>
      </w:r>
    </w:p>
    <w:p w14:paraId="2D4B2222" w14:textId="77777777" w:rsidR="00FE6ADE" w:rsidRDefault="00FE6ADE" w:rsidP="0099558B">
      <w:pPr>
        <w:spacing w:after="0" w:line="240" w:lineRule="auto"/>
        <w:rPr>
          <w:sz w:val="24"/>
          <w:szCs w:val="24"/>
        </w:rPr>
      </w:pPr>
    </w:p>
    <w:p w14:paraId="0F209268" w14:textId="753CD4CB" w:rsidR="0099558B" w:rsidRDefault="004A4ECC" w:rsidP="0099558B">
      <w:pPr>
        <w:spacing w:after="0" w:line="240" w:lineRule="auto"/>
        <w:rPr>
          <w:sz w:val="24"/>
          <w:szCs w:val="24"/>
        </w:rPr>
      </w:pPr>
      <w:r w:rsidRPr="00597B96">
        <w:rPr>
          <w:sz w:val="24"/>
          <w:szCs w:val="24"/>
        </w:rPr>
        <w:t>Assistant Secretary Newland</w:t>
      </w:r>
      <w:r w:rsidR="00F4271A">
        <w:rPr>
          <w:sz w:val="24"/>
          <w:szCs w:val="24"/>
        </w:rPr>
        <w:t xml:space="preserve"> </w:t>
      </w:r>
      <w:r w:rsidR="0007338A">
        <w:rPr>
          <w:sz w:val="24"/>
          <w:szCs w:val="24"/>
        </w:rPr>
        <w:t xml:space="preserve">mentioned that </w:t>
      </w:r>
      <w:r w:rsidR="00055568">
        <w:rPr>
          <w:sz w:val="24"/>
          <w:szCs w:val="24"/>
        </w:rPr>
        <w:t>Indian Affairs (IA)</w:t>
      </w:r>
      <w:r w:rsidR="00FE2D27">
        <w:rPr>
          <w:sz w:val="24"/>
          <w:szCs w:val="24"/>
        </w:rPr>
        <w:t xml:space="preserve"> </w:t>
      </w:r>
      <w:r w:rsidR="00055568">
        <w:rPr>
          <w:sz w:val="24"/>
          <w:szCs w:val="24"/>
        </w:rPr>
        <w:t>is</w:t>
      </w:r>
      <w:r w:rsidR="00FE2D27">
        <w:rPr>
          <w:sz w:val="24"/>
          <w:szCs w:val="24"/>
        </w:rPr>
        <w:t xml:space="preserve"> </w:t>
      </w:r>
      <w:r w:rsidR="006A1C29">
        <w:rPr>
          <w:sz w:val="24"/>
          <w:szCs w:val="24"/>
        </w:rPr>
        <w:t xml:space="preserve">drafting a second volume to the Boarding School Report that will lay </w:t>
      </w:r>
      <w:r w:rsidR="005458F2">
        <w:rPr>
          <w:sz w:val="24"/>
          <w:szCs w:val="24"/>
        </w:rPr>
        <w:t>out a more detail</w:t>
      </w:r>
      <w:r w:rsidR="008B0F87">
        <w:rPr>
          <w:sz w:val="24"/>
          <w:szCs w:val="24"/>
        </w:rPr>
        <w:t xml:space="preserve">ed version of findings from the investigation. </w:t>
      </w:r>
      <w:r w:rsidR="007B09B2">
        <w:rPr>
          <w:sz w:val="24"/>
          <w:szCs w:val="24"/>
        </w:rPr>
        <w:t>I</w:t>
      </w:r>
      <w:r w:rsidR="00055568">
        <w:rPr>
          <w:sz w:val="24"/>
          <w:szCs w:val="24"/>
        </w:rPr>
        <w:t xml:space="preserve">A </w:t>
      </w:r>
      <w:r w:rsidR="007B09B2">
        <w:rPr>
          <w:sz w:val="24"/>
          <w:szCs w:val="24"/>
        </w:rPr>
        <w:t xml:space="preserve">continues to work on an extension </w:t>
      </w:r>
      <w:r w:rsidR="007B7CA0">
        <w:rPr>
          <w:sz w:val="24"/>
          <w:szCs w:val="24"/>
        </w:rPr>
        <w:t>o</w:t>
      </w:r>
      <w:r w:rsidR="006A1C29">
        <w:rPr>
          <w:sz w:val="24"/>
          <w:szCs w:val="24"/>
        </w:rPr>
        <w:t>f</w:t>
      </w:r>
      <w:r w:rsidR="007B09B2">
        <w:rPr>
          <w:sz w:val="24"/>
          <w:szCs w:val="24"/>
        </w:rPr>
        <w:t xml:space="preserve"> the PROGRESS Act</w:t>
      </w:r>
      <w:r w:rsidR="007B7CA0">
        <w:rPr>
          <w:sz w:val="24"/>
          <w:szCs w:val="24"/>
        </w:rPr>
        <w:t>.</w:t>
      </w:r>
      <w:r w:rsidR="00F4271A">
        <w:rPr>
          <w:sz w:val="24"/>
          <w:szCs w:val="24"/>
        </w:rPr>
        <w:t xml:space="preserve"> </w:t>
      </w:r>
      <w:r w:rsidR="007B7CA0">
        <w:rPr>
          <w:sz w:val="24"/>
          <w:szCs w:val="24"/>
        </w:rPr>
        <w:t>The bill has made it through the Senate side. Secretary Newland indicated that he has had several discussions with the House side regarding the extensio</w:t>
      </w:r>
      <w:r w:rsidR="00055568">
        <w:rPr>
          <w:sz w:val="24"/>
          <w:szCs w:val="24"/>
        </w:rPr>
        <w:t xml:space="preserve">n. </w:t>
      </w:r>
    </w:p>
    <w:p w14:paraId="7F3E621E" w14:textId="77777777" w:rsidR="005800BB" w:rsidRDefault="005800BB" w:rsidP="0099558B">
      <w:pPr>
        <w:spacing w:after="0" w:line="240" w:lineRule="auto"/>
        <w:rPr>
          <w:sz w:val="24"/>
          <w:szCs w:val="24"/>
        </w:rPr>
      </w:pPr>
    </w:p>
    <w:p w14:paraId="1BD8F079" w14:textId="79BA0CFA" w:rsidR="005800BB" w:rsidRDefault="00312663" w:rsidP="0099558B">
      <w:pPr>
        <w:spacing w:after="0" w:line="240" w:lineRule="auto"/>
        <w:rPr>
          <w:sz w:val="24"/>
          <w:szCs w:val="24"/>
        </w:rPr>
      </w:pPr>
      <w:r>
        <w:rPr>
          <w:sz w:val="24"/>
          <w:szCs w:val="24"/>
        </w:rPr>
        <w:t xml:space="preserve">Secretary Newland acknowledged the importance of law enforcement and that it is currently a top priority for Tribal Leaders and IA. </w:t>
      </w:r>
      <w:r w:rsidR="007E3EC3">
        <w:rPr>
          <w:sz w:val="24"/>
          <w:szCs w:val="24"/>
        </w:rPr>
        <w:t xml:space="preserve">The IA </w:t>
      </w:r>
      <w:r w:rsidR="006A1C29">
        <w:rPr>
          <w:sz w:val="24"/>
          <w:szCs w:val="24"/>
        </w:rPr>
        <w:t>secured</w:t>
      </w:r>
      <w:r w:rsidR="007E3EC3">
        <w:rPr>
          <w:sz w:val="24"/>
          <w:szCs w:val="24"/>
        </w:rPr>
        <w:t xml:space="preserve"> some funding</w:t>
      </w:r>
      <w:r w:rsidR="00196C6D">
        <w:rPr>
          <w:sz w:val="24"/>
          <w:szCs w:val="24"/>
        </w:rPr>
        <w:t xml:space="preserve"> ($7 M)</w:t>
      </w:r>
      <w:r w:rsidR="007E3EC3">
        <w:rPr>
          <w:sz w:val="24"/>
          <w:szCs w:val="24"/>
        </w:rPr>
        <w:t xml:space="preserve"> for </w:t>
      </w:r>
      <w:r w:rsidR="00196C6D">
        <w:rPr>
          <w:sz w:val="24"/>
          <w:szCs w:val="24"/>
        </w:rPr>
        <w:t>P.</w:t>
      </w:r>
      <w:r w:rsidR="007E3EC3">
        <w:rPr>
          <w:sz w:val="24"/>
          <w:szCs w:val="24"/>
        </w:rPr>
        <w:t xml:space="preserve"> L</w:t>
      </w:r>
      <w:r w:rsidR="00196C6D">
        <w:rPr>
          <w:sz w:val="24"/>
          <w:szCs w:val="24"/>
        </w:rPr>
        <w:t xml:space="preserve">. </w:t>
      </w:r>
      <w:r w:rsidR="007E3EC3">
        <w:rPr>
          <w:sz w:val="24"/>
          <w:szCs w:val="24"/>
        </w:rPr>
        <w:t>280 Tribes and law enforcement</w:t>
      </w:r>
      <w:r w:rsidR="00236F2E">
        <w:rPr>
          <w:sz w:val="24"/>
          <w:szCs w:val="24"/>
        </w:rPr>
        <w:t xml:space="preserve"> in last year</w:t>
      </w:r>
      <w:r w:rsidR="006A1C29">
        <w:rPr>
          <w:sz w:val="24"/>
          <w:szCs w:val="24"/>
        </w:rPr>
        <w:t>'</w:t>
      </w:r>
      <w:r w:rsidR="00236F2E">
        <w:rPr>
          <w:sz w:val="24"/>
          <w:szCs w:val="24"/>
        </w:rPr>
        <w:t xml:space="preserve">s appropriation bill. </w:t>
      </w:r>
      <w:r w:rsidR="00343450">
        <w:rPr>
          <w:sz w:val="24"/>
          <w:szCs w:val="24"/>
        </w:rPr>
        <w:t xml:space="preserve">IA has conducted a thorough review of law enforcement staffing levels. </w:t>
      </w:r>
      <w:r w:rsidR="00CB698E">
        <w:rPr>
          <w:sz w:val="24"/>
          <w:szCs w:val="24"/>
        </w:rPr>
        <w:t>For the first time in a long time, the vacancy rate within the Office of Justice Services (OJS), the vacancy rate is below 10%</w:t>
      </w:r>
      <w:r w:rsidR="00FD4446">
        <w:rPr>
          <w:sz w:val="24"/>
          <w:szCs w:val="24"/>
        </w:rPr>
        <w:t>, and the attrition rate is below 10%. That is in</w:t>
      </w:r>
      <w:r w:rsidR="006A1C29">
        <w:rPr>
          <w:sz w:val="24"/>
          <w:szCs w:val="24"/>
        </w:rPr>
        <w:t xml:space="preserve"> </w:t>
      </w:r>
      <w:r w:rsidR="00FD4446">
        <w:rPr>
          <w:sz w:val="24"/>
          <w:szCs w:val="24"/>
        </w:rPr>
        <w:t xml:space="preserve">line </w:t>
      </w:r>
      <w:r w:rsidR="006A1C29">
        <w:rPr>
          <w:sz w:val="24"/>
          <w:szCs w:val="24"/>
        </w:rPr>
        <w:t xml:space="preserve">with </w:t>
      </w:r>
      <w:r w:rsidR="00FD4446">
        <w:rPr>
          <w:sz w:val="24"/>
          <w:szCs w:val="24"/>
        </w:rPr>
        <w:t xml:space="preserve">or exceeds the rate for other federal programs. </w:t>
      </w:r>
    </w:p>
    <w:p w14:paraId="55CE2AE8" w14:textId="77777777" w:rsidR="002B0A89" w:rsidRDefault="002B0A89" w:rsidP="0099558B">
      <w:pPr>
        <w:spacing w:after="0" w:line="240" w:lineRule="auto"/>
        <w:rPr>
          <w:sz w:val="24"/>
          <w:szCs w:val="24"/>
        </w:rPr>
      </w:pPr>
    </w:p>
    <w:p w14:paraId="6DABF5B6" w14:textId="4DD6469F" w:rsidR="00D16B97" w:rsidRDefault="002B0A89" w:rsidP="0099558B">
      <w:pPr>
        <w:spacing w:after="0" w:line="240" w:lineRule="auto"/>
        <w:rPr>
          <w:sz w:val="24"/>
          <w:szCs w:val="24"/>
        </w:rPr>
      </w:pPr>
      <w:r>
        <w:rPr>
          <w:sz w:val="24"/>
          <w:szCs w:val="24"/>
        </w:rPr>
        <w:t>IA is making</w:t>
      </w:r>
      <w:r w:rsidR="0022552A">
        <w:rPr>
          <w:sz w:val="24"/>
          <w:szCs w:val="24"/>
        </w:rPr>
        <w:t xml:space="preserve"> </w:t>
      </w:r>
      <w:r w:rsidR="006A1C29">
        <w:rPr>
          <w:sz w:val="24"/>
          <w:szCs w:val="24"/>
        </w:rPr>
        <w:t xml:space="preserve">a </w:t>
      </w:r>
      <w:r w:rsidR="0022552A">
        <w:rPr>
          <w:sz w:val="24"/>
          <w:szCs w:val="24"/>
        </w:rPr>
        <w:t xml:space="preserve">record pace with 105(l) leasing, and they are doing it at the same staffing level </w:t>
      </w:r>
      <w:r w:rsidR="00763AFD">
        <w:rPr>
          <w:sz w:val="24"/>
          <w:szCs w:val="24"/>
        </w:rPr>
        <w:t>as they have had. There</w:t>
      </w:r>
      <w:r w:rsidR="006A1C29">
        <w:rPr>
          <w:sz w:val="24"/>
          <w:szCs w:val="24"/>
        </w:rPr>
        <w:t xml:space="preserve"> are</w:t>
      </w:r>
      <w:r w:rsidR="00763AFD">
        <w:rPr>
          <w:sz w:val="24"/>
          <w:szCs w:val="24"/>
        </w:rPr>
        <w:t xml:space="preserve"> around 600 leases in the q</w:t>
      </w:r>
      <w:r w:rsidR="006A1C29">
        <w:rPr>
          <w:sz w:val="24"/>
          <w:szCs w:val="24"/>
        </w:rPr>
        <w:t>ue</w:t>
      </w:r>
      <w:r w:rsidR="00763AFD">
        <w:rPr>
          <w:sz w:val="24"/>
          <w:szCs w:val="24"/>
        </w:rPr>
        <w:t xml:space="preserve">ue. </w:t>
      </w:r>
      <w:r w:rsidR="008A7F33">
        <w:rPr>
          <w:sz w:val="24"/>
          <w:szCs w:val="24"/>
        </w:rPr>
        <w:t xml:space="preserve">They have gone from 0 proposals to around 600 </w:t>
      </w:r>
      <w:r w:rsidR="00D35433">
        <w:rPr>
          <w:sz w:val="24"/>
          <w:szCs w:val="24"/>
        </w:rPr>
        <w:t>within about four years</w:t>
      </w:r>
      <w:r w:rsidR="006A1C29">
        <w:rPr>
          <w:sz w:val="24"/>
          <w:szCs w:val="24"/>
        </w:rPr>
        <w:t xml:space="preserve"> and</w:t>
      </w:r>
      <w:r w:rsidR="008A7F33">
        <w:rPr>
          <w:sz w:val="24"/>
          <w:szCs w:val="24"/>
        </w:rPr>
        <w:t xml:space="preserve"> did it at the same staffing level. </w:t>
      </w:r>
      <w:r w:rsidR="00970C21">
        <w:rPr>
          <w:sz w:val="24"/>
          <w:szCs w:val="24"/>
        </w:rPr>
        <w:t xml:space="preserve">IA has requested additional staffing. </w:t>
      </w:r>
    </w:p>
    <w:p w14:paraId="74517A9F" w14:textId="77777777" w:rsidR="00ED03C7" w:rsidRDefault="00ED03C7" w:rsidP="0099558B">
      <w:pPr>
        <w:spacing w:after="0" w:line="240" w:lineRule="auto"/>
        <w:rPr>
          <w:sz w:val="24"/>
          <w:szCs w:val="24"/>
        </w:rPr>
      </w:pPr>
    </w:p>
    <w:p w14:paraId="77516503" w14:textId="77777777" w:rsidR="00ED03C7" w:rsidRPr="00ED03C7" w:rsidRDefault="00ED03C7" w:rsidP="0099558B">
      <w:pPr>
        <w:spacing w:after="0" w:line="240" w:lineRule="auto"/>
        <w:rPr>
          <w:sz w:val="24"/>
          <w:szCs w:val="24"/>
        </w:rPr>
      </w:pPr>
    </w:p>
    <w:p w14:paraId="3E00E384" w14:textId="4FA7A684" w:rsidR="00AD48CE" w:rsidRPr="00AD48CE" w:rsidRDefault="00AD48CE" w:rsidP="0099558B">
      <w:pPr>
        <w:spacing w:after="0" w:line="240" w:lineRule="auto"/>
        <w:rPr>
          <w:b/>
          <w:bCs/>
          <w:sz w:val="24"/>
          <w:szCs w:val="24"/>
        </w:rPr>
      </w:pPr>
      <w:r w:rsidRPr="00AD48CE">
        <w:rPr>
          <w:b/>
          <w:bCs/>
          <w:sz w:val="24"/>
          <w:szCs w:val="24"/>
        </w:rPr>
        <w:lastRenderedPageBreak/>
        <w:t xml:space="preserve">Chairman Allen </w:t>
      </w:r>
    </w:p>
    <w:p w14:paraId="2B50A011" w14:textId="586F5AEF" w:rsidR="004A4ECC" w:rsidRDefault="004A4ECC" w:rsidP="00D16492">
      <w:pPr>
        <w:spacing w:after="0" w:line="240" w:lineRule="auto"/>
        <w:rPr>
          <w:sz w:val="24"/>
          <w:szCs w:val="24"/>
        </w:rPr>
      </w:pPr>
    </w:p>
    <w:p w14:paraId="5B2ECD51" w14:textId="747FA49C" w:rsidR="00AD48CE" w:rsidRDefault="00930C85" w:rsidP="00D16492">
      <w:pPr>
        <w:spacing w:after="0" w:line="240" w:lineRule="auto"/>
        <w:rPr>
          <w:sz w:val="24"/>
          <w:szCs w:val="24"/>
        </w:rPr>
      </w:pPr>
      <w:r>
        <w:rPr>
          <w:sz w:val="24"/>
          <w:szCs w:val="24"/>
        </w:rPr>
        <w:t>Chairman Allen</w:t>
      </w:r>
      <w:r w:rsidR="00780AE1">
        <w:rPr>
          <w:sz w:val="24"/>
          <w:szCs w:val="24"/>
        </w:rPr>
        <w:t xml:space="preserve"> mentioned that we</w:t>
      </w:r>
      <w:r w:rsidR="00691E93">
        <w:rPr>
          <w:sz w:val="24"/>
          <w:szCs w:val="24"/>
        </w:rPr>
        <w:t xml:space="preserve"> appreciate the PROGRESS Act and the </w:t>
      </w:r>
      <w:r w:rsidR="007745A9">
        <w:rPr>
          <w:sz w:val="24"/>
          <w:szCs w:val="24"/>
        </w:rPr>
        <w:t>encouraging movement from the House to the Senate</w:t>
      </w:r>
      <w:r w:rsidR="00691E93">
        <w:rPr>
          <w:sz w:val="24"/>
          <w:szCs w:val="24"/>
        </w:rPr>
        <w:t xml:space="preserve">. </w:t>
      </w:r>
      <w:r w:rsidR="00780AE1">
        <w:rPr>
          <w:sz w:val="24"/>
          <w:szCs w:val="24"/>
        </w:rPr>
        <w:t xml:space="preserve">He then reminded Secretary Newland of our concern with CSC. </w:t>
      </w:r>
      <w:r w:rsidR="00FE6ADE">
        <w:rPr>
          <w:sz w:val="24"/>
          <w:szCs w:val="24"/>
        </w:rPr>
        <w:t>The group</w:t>
      </w:r>
      <w:r w:rsidR="006A1C29">
        <w:rPr>
          <w:sz w:val="24"/>
          <w:szCs w:val="24"/>
        </w:rPr>
        <w:t>'</w:t>
      </w:r>
      <w:r w:rsidR="00FE6ADE">
        <w:rPr>
          <w:sz w:val="24"/>
          <w:szCs w:val="24"/>
        </w:rPr>
        <w:t xml:space="preserve">s concern is that </w:t>
      </w:r>
      <w:r w:rsidR="00ED02FA">
        <w:rPr>
          <w:sz w:val="24"/>
          <w:szCs w:val="24"/>
        </w:rPr>
        <w:t xml:space="preserve">they are not working well together in the workgroup. </w:t>
      </w:r>
      <w:r w:rsidR="004C497C">
        <w:rPr>
          <w:sz w:val="24"/>
          <w:szCs w:val="24"/>
        </w:rPr>
        <w:t xml:space="preserve">It is affecting progress towards ensuring more timely payments. </w:t>
      </w:r>
      <w:r w:rsidR="005B413C">
        <w:rPr>
          <w:sz w:val="24"/>
          <w:szCs w:val="24"/>
        </w:rPr>
        <w:t>It seems like the Tribe</w:t>
      </w:r>
      <w:r w:rsidR="007745A9">
        <w:rPr>
          <w:sz w:val="24"/>
          <w:szCs w:val="24"/>
        </w:rPr>
        <w:t xml:space="preserve">s are </w:t>
      </w:r>
      <w:r w:rsidR="005B413C">
        <w:rPr>
          <w:sz w:val="24"/>
          <w:szCs w:val="24"/>
        </w:rPr>
        <w:t xml:space="preserve">being held hostage by audits and data collection requirements. </w:t>
      </w:r>
      <w:r w:rsidR="003377FC">
        <w:rPr>
          <w:sz w:val="24"/>
          <w:szCs w:val="24"/>
        </w:rPr>
        <w:t>However, Tribes acknowledge the importance of those two requirement</w:t>
      </w:r>
      <w:r w:rsidR="00E35EFD">
        <w:rPr>
          <w:sz w:val="24"/>
          <w:szCs w:val="24"/>
        </w:rPr>
        <w:t>s, but</w:t>
      </w:r>
      <w:r w:rsidR="00D85B60">
        <w:rPr>
          <w:sz w:val="24"/>
          <w:szCs w:val="24"/>
        </w:rPr>
        <w:t xml:space="preserve"> the</w:t>
      </w:r>
      <w:r w:rsidR="00E35EFD">
        <w:rPr>
          <w:sz w:val="24"/>
          <w:szCs w:val="24"/>
        </w:rPr>
        <w:t xml:space="preserve"> Tribes who </w:t>
      </w:r>
      <w:proofErr w:type="gramStart"/>
      <w:r w:rsidR="00D85B60">
        <w:rPr>
          <w:sz w:val="24"/>
          <w:szCs w:val="24"/>
        </w:rPr>
        <w:t>are in compliance</w:t>
      </w:r>
      <w:proofErr w:type="gramEnd"/>
      <w:r w:rsidR="00E35EFD">
        <w:rPr>
          <w:sz w:val="24"/>
          <w:szCs w:val="24"/>
        </w:rPr>
        <w:t xml:space="preserve"> should not be punished for those</w:t>
      </w:r>
      <w:r w:rsidR="00D85B60">
        <w:rPr>
          <w:sz w:val="24"/>
          <w:szCs w:val="24"/>
        </w:rPr>
        <w:t xml:space="preserve"> who are not. </w:t>
      </w:r>
    </w:p>
    <w:p w14:paraId="1B17858C" w14:textId="77777777" w:rsidR="00555A8B" w:rsidRDefault="00555A8B" w:rsidP="00D16492">
      <w:pPr>
        <w:spacing w:after="0" w:line="240" w:lineRule="auto"/>
        <w:rPr>
          <w:sz w:val="24"/>
          <w:szCs w:val="24"/>
        </w:rPr>
      </w:pPr>
    </w:p>
    <w:p w14:paraId="53B87914" w14:textId="7EC6440F" w:rsidR="00555A8B" w:rsidRDefault="00555A8B" w:rsidP="00D16492">
      <w:pPr>
        <w:spacing w:after="0" w:line="240" w:lineRule="auto"/>
        <w:rPr>
          <w:sz w:val="24"/>
          <w:szCs w:val="24"/>
        </w:rPr>
      </w:pPr>
      <w:r>
        <w:rPr>
          <w:sz w:val="24"/>
          <w:szCs w:val="24"/>
        </w:rPr>
        <w:t>The Chairman notified Secretary Newland of the group</w:t>
      </w:r>
      <w:r w:rsidR="006A1C29">
        <w:rPr>
          <w:sz w:val="24"/>
          <w:szCs w:val="24"/>
        </w:rPr>
        <w:t>'</w:t>
      </w:r>
      <w:r>
        <w:rPr>
          <w:sz w:val="24"/>
          <w:szCs w:val="24"/>
        </w:rPr>
        <w:t xml:space="preserve">s concerns regarding OSG staffing levels. </w:t>
      </w:r>
      <w:r w:rsidR="0035541B">
        <w:rPr>
          <w:sz w:val="24"/>
          <w:szCs w:val="24"/>
        </w:rPr>
        <w:t xml:space="preserve">The Chairman emphasized that a Deputy Director is needed at the OSG. </w:t>
      </w:r>
    </w:p>
    <w:p w14:paraId="55592956" w14:textId="77777777" w:rsidR="003E4910" w:rsidRDefault="003E4910" w:rsidP="00D16492">
      <w:pPr>
        <w:spacing w:after="0" w:line="240" w:lineRule="auto"/>
        <w:rPr>
          <w:sz w:val="24"/>
          <w:szCs w:val="24"/>
        </w:rPr>
      </w:pPr>
    </w:p>
    <w:p w14:paraId="31D7DBA6" w14:textId="08B68015" w:rsidR="003E4910" w:rsidRDefault="001E71D7" w:rsidP="00D16492">
      <w:pPr>
        <w:spacing w:after="0" w:line="240" w:lineRule="auto"/>
        <w:rPr>
          <w:sz w:val="24"/>
          <w:szCs w:val="24"/>
        </w:rPr>
      </w:pPr>
      <w:r>
        <w:rPr>
          <w:sz w:val="24"/>
          <w:szCs w:val="24"/>
        </w:rPr>
        <w:t xml:space="preserve">Tribal leaders are concerned about the indirect cost rate negotiations. They want reassurance that the IA and Secretary Newland are supporting Tribes </w:t>
      </w:r>
      <w:r w:rsidR="007745A9">
        <w:rPr>
          <w:sz w:val="24"/>
          <w:szCs w:val="24"/>
        </w:rPr>
        <w:t>regarding</w:t>
      </w:r>
      <w:r w:rsidR="00550620">
        <w:rPr>
          <w:sz w:val="24"/>
          <w:szCs w:val="24"/>
        </w:rPr>
        <w:t xml:space="preserve"> ensuring that recent one</w:t>
      </w:r>
      <w:r w:rsidR="00037A5F">
        <w:rPr>
          <w:sz w:val="24"/>
          <w:szCs w:val="24"/>
        </w:rPr>
        <w:t>-</w:t>
      </w:r>
      <w:r w:rsidR="00550620">
        <w:rPr>
          <w:sz w:val="24"/>
          <w:szCs w:val="24"/>
        </w:rPr>
        <w:t>time</w:t>
      </w:r>
      <w:r w:rsidR="00727EEF">
        <w:rPr>
          <w:sz w:val="24"/>
          <w:szCs w:val="24"/>
        </w:rPr>
        <w:t xml:space="preserve"> pandemic</w:t>
      </w:r>
      <w:r w:rsidR="00550620">
        <w:rPr>
          <w:sz w:val="24"/>
          <w:szCs w:val="24"/>
        </w:rPr>
        <w:t xml:space="preserve"> funding (</w:t>
      </w:r>
      <w:r w:rsidR="00A72E6B">
        <w:rPr>
          <w:sz w:val="24"/>
          <w:szCs w:val="24"/>
        </w:rPr>
        <w:t>e.g.,</w:t>
      </w:r>
      <w:r w:rsidR="000F21BD">
        <w:rPr>
          <w:sz w:val="24"/>
          <w:szCs w:val="24"/>
        </w:rPr>
        <w:t xml:space="preserve"> ARPA, </w:t>
      </w:r>
      <w:r w:rsidR="00C92F6F">
        <w:rPr>
          <w:sz w:val="24"/>
          <w:szCs w:val="24"/>
        </w:rPr>
        <w:t xml:space="preserve">IIJA) </w:t>
      </w:r>
      <w:r w:rsidR="00037A5F">
        <w:rPr>
          <w:sz w:val="24"/>
          <w:szCs w:val="24"/>
        </w:rPr>
        <w:t>is</w:t>
      </w:r>
      <w:r w:rsidR="00A72E6B">
        <w:rPr>
          <w:sz w:val="24"/>
          <w:szCs w:val="24"/>
        </w:rPr>
        <w:t xml:space="preserve"> not considered when calculating base funding. </w:t>
      </w:r>
    </w:p>
    <w:p w14:paraId="5CA17494" w14:textId="77777777" w:rsidR="00D85B60" w:rsidRDefault="00D85B60" w:rsidP="00D16492">
      <w:pPr>
        <w:spacing w:after="0" w:line="240" w:lineRule="auto"/>
        <w:rPr>
          <w:sz w:val="24"/>
          <w:szCs w:val="24"/>
        </w:rPr>
      </w:pPr>
    </w:p>
    <w:p w14:paraId="1FCA69D8" w14:textId="4F196C9E" w:rsidR="00D16492" w:rsidRPr="00D16492" w:rsidRDefault="00D16492" w:rsidP="00D16492">
      <w:pPr>
        <w:spacing w:after="0" w:line="240" w:lineRule="auto"/>
        <w:rPr>
          <w:b/>
          <w:bCs/>
          <w:i/>
          <w:iCs/>
          <w:sz w:val="24"/>
          <w:szCs w:val="24"/>
          <w:u w:val="single"/>
        </w:rPr>
      </w:pPr>
      <w:r w:rsidRPr="00D16492">
        <w:rPr>
          <w:b/>
          <w:bCs/>
          <w:i/>
          <w:iCs/>
          <w:sz w:val="24"/>
          <w:szCs w:val="24"/>
          <w:u w:val="single"/>
        </w:rPr>
        <w:t>Office of Self-Governance (OSG) Update</w:t>
      </w:r>
    </w:p>
    <w:p w14:paraId="3E9D2B7D" w14:textId="334B51FF" w:rsidR="005C2401" w:rsidRPr="00472DC5" w:rsidRDefault="00D16492" w:rsidP="00D16492">
      <w:pPr>
        <w:spacing w:after="0" w:line="240" w:lineRule="auto"/>
        <w:rPr>
          <w:i/>
          <w:iCs/>
          <w:sz w:val="24"/>
          <w:szCs w:val="24"/>
        </w:rPr>
      </w:pPr>
      <w:r w:rsidRPr="00472DC5">
        <w:rPr>
          <w:i/>
          <w:iCs/>
          <w:sz w:val="24"/>
          <w:szCs w:val="24"/>
        </w:rPr>
        <w:t>Sharee Freeman, Director, OSG</w:t>
      </w:r>
    </w:p>
    <w:p w14:paraId="4F10F987" w14:textId="77777777" w:rsidR="006C2244" w:rsidRDefault="006C2244" w:rsidP="008E1F03">
      <w:pPr>
        <w:spacing w:after="0" w:line="240" w:lineRule="auto"/>
        <w:rPr>
          <w:sz w:val="24"/>
          <w:szCs w:val="24"/>
        </w:rPr>
      </w:pPr>
    </w:p>
    <w:p w14:paraId="73A31888" w14:textId="240E1E20" w:rsidR="009C2288" w:rsidRDefault="005A21E0" w:rsidP="005A21E0">
      <w:pPr>
        <w:rPr>
          <w:sz w:val="24"/>
          <w:szCs w:val="24"/>
        </w:rPr>
      </w:pPr>
      <w:r>
        <w:rPr>
          <w:sz w:val="24"/>
          <w:szCs w:val="24"/>
        </w:rPr>
        <w:t xml:space="preserve">Director Freeman </w:t>
      </w:r>
      <w:r w:rsidR="00453AE2">
        <w:rPr>
          <w:sz w:val="24"/>
          <w:szCs w:val="24"/>
        </w:rPr>
        <w:t xml:space="preserve">submitted a presentation which outlined various </w:t>
      </w:r>
      <w:proofErr w:type="gramStart"/>
      <w:r w:rsidR="00453AE2">
        <w:rPr>
          <w:sz w:val="24"/>
          <w:szCs w:val="24"/>
        </w:rPr>
        <w:t xml:space="preserve">updates </w:t>
      </w:r>
      <w:r>
        <w:rPr>
          <w:sz w:val="24"/>
          <w:szCs w:val="24"/>
        </w:rPr>
        <w:t xml:space="preserve"> within</w:t>
      </w:r>
      <w:proofErr w:type="gramEnd"/>
      <w:r>
        <w:rPr>
          <w:sz w:val="24"/>
          <w:szCs w:val="24"/>
        </w:rPr>
        <w:t xml:space="preserve"> the Office of Tribal Self-Governance (OSG). </w:t>
      </w:r>
      <w:r w:rsidR="003B4B6E">
        <w:rPr>
          <w:sz w:val="24"/>
          <w:szCs w:val="24"/>
        </w:rPr>
        <w:t>Alexis Wagner has agreed</w:t>
      </w:r>
      <w:r w:rsidR="00963BCE">
        <w:rPr>
          <w:sz w:val="24"/>
          <w:szCs w:val="24"/>
        </w:rPr>
        <w:t xml:space="preserve"> to </w:t>
      </w:r>
      <w:r w:rsidR="00037A5F">
        <w:rPr>
          <w:sz w:val="24"/>
          <w:szCs w:val="24"/>
        </w:rPr>
        <w:t xml:space="preserve">a </w:t>
      </w:r>
      <w:r w:rsidR="00963BCE">
        <w:rPr>
          <w:sz w:val="24"/>
          <w:szCs w:val="24"/>
        </w:rPr>
        <w:t>detail assignment to OSG</w:t>
      </w:r>
      <w:r w:rsidR="006A1C29">
        <w:rPr>
          <w:sz w:val="24"/>
          <w:szCs w:val="24"/>
        </w:rPr>
        <w:t>'</w:t>
      </w:r>
      <w:r w:rsidR="00963BCE">
        <w:rPr>
          <w:sz w:val="24"/>
          <w:szCs w:val="24"/>
        </w:rPr>
        <w:t xml:space="preserve">s Northwest Field Office in Vancouver, WA. </w:t>
      </w:r>
      <w:r w:rsidR="00A156C0">
        <w:rPr>
          <w:sz w:val="24"/>
          <w:szCs w:val="24"/>
        </w:rPr>
        <w:t xml:space="preserve">Alexis will help coordinate the awarding of Tribal Climate Resilience projects through OSG. </w:t>
      </w:r>
      <w:r w:rsidR="00FF5573">
        <w:rPr>
          <w:sz w:val="24"/>
          <w:szCs w:val="24"/>
        </w:rPr>
        <w:t xml:space="preserve">The OSG requested funding for a Deputy Director and an additional $150,000 for SGCETC. </w:t>
      </w:r>
      <w:r w:rsidR="00F07B1E">
        <w:rPr>
          <w:sz w:val="24"/>
          <w:szCs w:val="24"/>
        </w:rPr>
        <w:t xml:space="preserve">Once negotiated rulemaking funding responsibilities are completed in 2024, salary funds will be available to hire an OSG Deputy. </w:t>
      </w:r>
    </w:p>
    <w:p w14:paraId="6E4B3197" w14:textId="7EF3A256" w:rsidR="009044C7" w:rsidRDefault="009044C7" w:rsidP="005A21E0">
      <w:pPr>
        <w:rPr>
          <w:sz w:val="24"/>
          <w:szCs w:val="24"/>
        </w:rPr>
      </w:pPr>
      <w:r>
        <w:rPr>
          <w:sz w:val="24"/>
          <w:szCs w:val="24"/>
        </w:rPr>
        <w:t xml:space="preserve">There are currently 288 Self-Governance Tribes. </w:t>
      </w:r>
      <w:r w:rsidR="00A20DC5">
        <w:rPr>
          <w:sz w:val="24"/>
          <w:szCs w:val="24"/>
        </w:rPr>
        <w:t xml:space="preserve">There are 138 funding agreements for FY 2023. Spirit Lake Tribe joined </w:t>
      </w:r>
      <w:r w:rsidR="0076781E">
        <w:rPr>
          <w:sz w:val="24"/>
          <w:szCs w:val="24"/>
        </w:rPr>
        <w:t>Self-Governance in 2023. The Pawnee Nation of Oklahoma</w:t>
      </w:r>
      <w:r w:rsidR="00807E2C">
        <w:rPr>
          <w:sz w:val="24"/>
          <w:szCs w:val="24"/>
        </w:rPr>
        <w:t xml:space="preserve"> and</w:t>
      </w:r>
      <w:r w:rsidR="0076781E">
        <w:rPr>
          <w:sz w:val="24"/>
          <w:szCs w:val="24"/>
        </w:rPr>
        <w:t xml:space="preserve"> Craig Tribal Association </w:t>
      </w:r>
      <w:r w:rsidR="00453AE2">
        <w:rPr>
          <w:sz w:val="24"/>
          <w:szCs w:val="24"/>
        </w:rPr>
        <w:t xml:space="preserve">and Reno Sparks Indian Colony </w:t>
      </w:r>
      <w:r w:rsidR="0076781E">
        <w:rPr>
          <w:sz w:val="24"/>
          <w:szCs w:val="24"/>
        </w:rPr>
        <w:t xml:space="preserve">will join Self-Governance in FY 2024. </w:t>
      </w:r>
    </w:p>
    <w:p w14:paraId="49225061" w14:textId="672E9D2C" w:rsidR="0076781E" w:rsidRDefault="00967897" w:rsidP="005A21E0">
      <w:pPr>
        <w:rPr>
          <w:sz w:val="24"/>
          <w:szCs w:val="24"/>
        </w:rPr>
      </w:pPr>
      <w:r>
        <w:rPr>
          <w:sz w:val="24"/>
          <w:szCs w:val="24"/>
        </w:rPr>
        <w:t>The OSG has received and obligated approximately $808,399,136 in FY 2022 to Self-Governance Tribes</w:t>
      </w:r>
      <w:r w:rsidR="00A35014">
        <w:rPr>
          <w:sz w:val="24"/>
          <w:szCs w:val="24"/>
        </w:rPr>
        <w:t xml:space="preserve"> and has received approximately $757,640,334 in FY 2023 funding for Tribes. </w:t>
      </w:r>
    </w:p>
    <w:p w14:paraId="0BB80F51" w14:textId="7C226AAC" w:rsidR="00EA6DE9" w:rsidRDefault="00B26BA4" w:rsidP="007534B3">
      <w:pPr>
        <w:rPr>
          <w:sz w:val="24"/>
          <w:szCs w:val="24"/>
        </w:rPr>
      </w:pPr>
      <w:r>
        <w:rPr>
          <w:sz w:val="24"/>
          <w:szCs w:val="24"/>
        </w:rPr>
        <w:t xml:space="preserve">A CSC distribution table for SG Tribes was provided for each fiscal year from 2019 to 2023 including ARPA and CARES Act.  </w:t>
      </w:r>
      <w:r w:rsidR="005A21E0">
        <w:rPr>
          <w:sz w:val="24"/>
          <w:szCs w:val="24"/>
        </w:rPr>
        <w:t>Tribes are requested to email all correspondence and documentation regarding Self-Governance Contract Support, including CSC Data, to the following email address:</w:t>
      </w:r>
      <w:r w:rsidR="00FC38D4">
        <w:rPr>
          <w:sz w:val="24"/>
          <w:szCs w:val="24"/>
        </w:rPr>
        <w:t xml:space="preserve">     </w:t>
      </w:r>
      <w:hyperlink r:id="rId8" w:history="1">
        <w:r w:rsidR="00FC38D4" w:rsidRPr="009C0424">
          <w:rPr>
            <w:rStyle w:val="Hyperlink"/>
            <w:sz w:val="24"/>
            <w:szCs w:val="24"/>
          </w:rPr>
          <w:t>OSG-CSC@bia.gov</w:t>
        </w:r>
      </w:hyperlink>
      <w:r w:rsidR="00037A5F">
        <w:rPr>
          <w:rStyle w:val="Hyperlink"/>
          <w:sz w:val="24"/>
          <w:szCs w:val="24"/>
        </w:rPr>
        <w:t>.</w:t>
      </w:r>
      <w:r w:rsidR="005A21E0">
        <w:rPr>
          <w:sz w:val="24"/>
          <w:szCs w:val="24"/>
        </w:rPr>
        <w:t xml:space="preserve"> </w:t>
      </w:r>
      <w:r>
        <w:rPr>
          <w:sz w:val="24"/>
          <w:szCs w:val="24"/>
        </w:rPr>
        <w:t xml:space="preserve">  In addition, </w:t>
      </w:r>
      <w:r w:rsidR="00FC38D4">
        <w:rPr>
          <w:sz w:val="24"/>
          <w:szCs w:val="24"/>
        </w:rPr>
        <w:t xml:space="preserve">Tribes are requested to email all correspondence and documentation regarding Self-Governance Financial Assistance &amp; Social Services Report (FASSR) to the following email address: </w:t>
      </w:r>
      <w:hyperlink r:id="rId9" w:history="1">
        <w:r w:rsidR="00FC38D4" w:rsidRPr="009C0424">
          <w:rPr>
            <w:rStyle w:val="Hyperlink"/>
            <w:sz w:val="24"/>
            <w:szCs w:val="24"/>
          </w:rPr>
          <w:t>OSG-FASSR@bia.gov</w:t>
        </w:r>
      </w:hyperlink>
      <w:r w:rsidR="00FC38D4">
        <w:rPr>
          <w:sz w:val="24"/>
          <w:szCs w:val="24"/>
        </w:rPr>
        <w:t xml:space="preserve"> </w:t>
      </w:r>
    </w:p>
    <w:p w14:paraId="37F98057" w14:textId="2F3BB5DC" w:rsidR="00D16B97" w:rsidRDefault="00B26BA4" w:rsidP="00472DC5">
      <w:pPr>
        <w:spacing w:after="0" w:line="240" w:lineRule="auto"/>
        <w:rPr>
          <w:b/>
          <w:bCs/>
          <w:sz w:val="24"/>
          <w:szCs w:val="24"/>
          <w:u w:val="single"/>
        </w:rPr>
      </w:pPr>
      <w:r w:rsidRPr="00B26BA4">
        <w:rPr>
          <w:sz w:val="24"/>
          <w:szCs w:val="24"/>
        </w:rPr>
        <w:t>OSG compact negotiation team has been focused on participation in the last year and a half on PROGESS Act Negotiated Rulemaking activities.</w:t>
      </w:r>
      <w:r>
        <w:rPr>
          <w:sz w:val="24"/>
          <w:szCs w:val="24"/>
        </w:rPr>
        <w:t xml:space="preserve">  </w:t>
      </w:r>
      <w:r w:rsidR="001275BB" w:rsidRPr="00B26BA4">
        <w:rPr>
          <w:sz w:val="24"/>
          <w:szCs w:val="24"/>
        </w:rPr>
        <w:t>25 U.S.C. § 5363(p) allows Tribes to maintain their prior Funding Agreement and receive funding without a negotiation</w:t>
      </w:r>
      <w:r w:rsidR="001275BB">
        <w:rPr>
          <w:sz w:val="24"/>
          <w:szCs w:val="24"/>
        </w:rPr>
        <w:t xml:space="preserve">.  The negotiation </w:t>
      </w:r>
      <w:r w:rsidR="001275BB">
        <w:rPr>
          <w:sz w:val="24"/>
          <w:szCs w:val="24"/>
        </w:rPr>
        <w:lastRenderedPageBreak/>
        <w:t xml:space="preserve">team is </w:t>
      </w:r>
      <w:r w:rsidR="001275BB" w:rsidRPr="001275BB">
        <w:rPr>
          <w:sz w:val="24"/>
          <w:szCs w:val="24"/>
        </w:rPr>
        <w:t>putting priority on those amendments that will affect tribes receiving their funds.  The regular R</w:t>
      </w:r>
      <w:r w:rsidR="001275BB">
        <w:rPr>
          <w:sz w:val="24"/>
          <w:szCs w:val="24"/>
        </w:rPr>
        <w:t xml:space="preserve">eprogramming </w:t>
      </w:r>
      <w:r w:rsidR="001275BB" w:rsidRPr="001275BB">
        <w:rPr>
          <w:sz w:val="24"/>
          <w:szCs w:val="24"/>
        </w:rPr>
        <w:t>R</w:t>
      </w:r>
      <w:r w:rsidR="001275BB">
        <w:rPr>
          <w:sz w:val="24"/>
          <w:szCs w:val="24"/>
        </w:rPr>
        <w:t>equest</w:t>
      </w:r>
      <w:r w:rsidR="001275BB" w:rsidRPr="001275BB">
        <w:rPr>
          <w:sz w:val="24"/>
          <w:szCs w:val="24"/>
        </w:rPr>
        <w:t xml:space="preserve"> amendments will not affect the tribe receiving funds</w:t>
      </w:r>
      <w:r w:rsidR="001275BB">
        <w:rPr>
          <w:sz w:val="24"/>
          <w:szCs w:val="24"/>
        </w:rPr>
        <w:t>.</w:t>
      </w:r>
    </w:p>
    <w:p w14:paraId="723DD6D7" w14:textId="77777777" w:rsidR="00D16B97" w:rsidRDefault="00D16B97" w:rsidP="00472DC5">
      <w:pPr>
        <w:spacing w:after="0" w:line="240" w:lineRule="auto"/>
        <w:rPr>
          <w:b/>
          <w:bCs/>
          <w:sz w:val="24"/>
          <w:szCs w:val="24"/>
          <w:u w:val="single"/>
        </w:rPr>
      </w:pPr>
    </w:p>
    <w:p w14:paraId="0464C5E1" w14:textId="79BD67A3" w:rsidR="00472DC5" w:rsidRPr="00472DC5" w:rsidRDefault="00636667" w:rsidP="00472DC5">
      <w:pPr>
        <w:spacing w:after="0" w:line="240" w:lineRule="auto"/>
        <w:rPr>
          <w:b/>
          <w:bCs/>
          <w:sz w:val="24"/>
          <w:szCs w:val="24"/>
          <w:u w:val="single"/>
        </w:rPr>
      </w:pPr>
      <w:r>
        <w:rPr>
          <w:b/>
          <w:bCs/>
          <w:sz w:val="24"/>
          <w:szCs w:val="24"/>
          <w:u w:val="single"/>
        </w:rPr>
        <w:t>Aggregate Net Reporting in the Self-Governance Database (</w:t>
      </w:r>
      <w:r w:rsidR="00F014E1">
        <w:rPr>
          <w:b/>
          <w:bCs/>
          <w:sz w:val="24"/>
          <w:szCs w:val="24"/>
          <w:u w:val="single"/>
        </w:rPr>
        <w:t>SGDB)</w:t>
      </w:r>
    </w:p>
    <w:p w14:paraId="2908071E" w14:textId="3BED0B12" w:rsidR="00472DC5" w:rsidRPr="00071BB5" w:rsidRDefault="00F014E1" w:rsidP="00472DC5">
      <w:pPr>
        <w:spacing w:after="0" w:line="240" w:lineRule="auto"/>
        <w:rPr>
          <w:i/>
          <w:iCs/>
          <w:sz w:val="24"/>
          <w:szCs w:val="24"/>
        </w:rPr>
      </w:pPr>
      <w:r w:rsidRPr="00071BB5">
        <w:rPr>
          <w:i/>
          <w:iCs/>
          <w:sz w:val="24"/>
          <w:szCs w:val="24"/>
        </w:rPr>
        <w:t>Rufina Villicana, Finance Manager, OSG, DOI</w:t>
      </w:r>
    </w:p>
    <w:p w14:paraId="68D82860" w14:textId="77777777" w:rsidR="00EA6DE9" w:rsidRDefault="00EA6DE9" w:rsidP="00472DC5">
      <w:pPr>
        <w:spacing w:after="0" w:line="240" w:lineRule="auto"/>
        <w:rPr>
          <w:b/>
          <w:bCs/>
          <w:i/>
          <w:iCs/>
          <w:sz w:val="24"/>
          <w:szCs w:val="24"/>
        </w:rPr>
      </w:pPr>
    </w:p>
    <w:p w14:paraId="40A43617" w14:textId="289F4500" w:rsidR="00EA6DE9" w:rsidRDefault="00050C1F" w:rsidP="00472DC5">
      <w:pPr>
        <w:spacing w:after="0" w:line="240" w:lineRule="auto"/>
        <w:rPr>
          <w:sz w:val="24"/>
          <w:szCs w:val="24"/>
        </w:rPr>
      </w:pPr>
      <w:r>
        <w:rPr>
          <w:sz w:val="24"/>
          <w:szCs w:val="24"/>
        </w:rPr>
        <w:t xml:space="preserve">The </w:t>
      </w:r>
      <w:proofErr w:type="spellStart"/>
      <w:r>
        <w:rPr>
          <w:sz w:val="24"/>
          <w:szCs w:val="24"/>
        </w:rPr>
        <w:t>Tiwahe</w:t>
      </w:r>
      <w:proofErr w:type="spellEnd"/>
      <w:r>
        <w:rPr>
          <w:sz w:val="24"/>
          <w:szCs w:val="24"/>
        </w:rPr>
        <w:t xml:space="preserve"> Initiative is a five-year demonstration project supporting American Indian</w:t>
      </w:r>
      <w:r w:rsidR="002633D2">
        <w:rPr>
          <w:sz w:val="24"/>
          <w:szCs w:val="24"/>
        </w:rPr>
        <w:t>s</w:t>
      </w:r>
      <w:r>
        <w:rPr>
          <w:sz w:val="24"/>
          <w:szCs w:val="24"/>
        </w:rPr>
        <w:t xml:space="preserve"> and Alaska Natives to improve the health and well</w:t>
      </w:r>
      <w:r w:rsidR="002633D2">
        <w:rPr>
          <w:sz w:val="24"/>
          <w:szCs w:val="24"/>
        </w:rPr>
        <w:t>-</w:t>
      </w:r>
      <w:r>
        <w:rPr>
          <w:sz w:val="24"/>
          <w:szCs w:val="24"/>
        </w:rPr>
        <w:t xml:space="preserve">being of families in tribal communities. </w:t>
      </w:r>
      <w:r w:rsidR="0023219E">
        <w:rPr>
          <w:sz w:val="24"/>
          <w:szCs w:val="24"/>
        </w:rPr>
        <w:t>The original methodology for across-the-board increases w</w:t>
      </w:r>
      <w:r w:rsidR="002633D2">
        <w:rPr>
          <w:sz w:val="24"/>
          <w:szCs w:val="24"/>
        </w:rPr>
        <w:t>as</w:t>
      </w:r>
      <w:r w:rsidR="0023219E">
        <w:rPr>
          <w:sz w:val="24"/>
          <w:szCs w:val="24"/>
        </w:rPr>
        <w:t xml:space="preserve"> </w:t>
      </w:r>
      <w:r w:rsidR="00FF548C">
        <w:rPr>
          <w:sz w:val="24"/>
          <w:szCs w:val="24"/>
        </w:rPr>
        <w:t>initially calculated on the published 2014 Greenbook TPA base number. Several issues were identified that were not captured when determining distributions</w:t>
      </w:r>
      <w:r w:rsidR="00EA02B6">
        <w:rPr>
          <w:sz w:val="24"/>
          <w:szCs w:val="24"/>
        </w:rPr>
        <w:t xml:space="preserve">. </w:t>
      </w:r>
    </w:p>
    <w:p w14:paraId="2397FCC3" w14:textId="77777777" w:rsidR="00EC5C2F" w:rsidRDefault="00EC5C2F" w:rsidP="00472DC5">
      <w:pPr>
        <w:spacing w:after="0" w:line="240" w:lineRule="auto"/>
        <w:rPr>
          <w:sz w:val="24"/>
          <w:szCs w:val="24"/>
        </w:rPr>
      </w:pPr>
    </w:p>
    <w:p w14:paraId="60856D06" w14:textId="55FAB44B" w:rsidR="00EC5C2F" w:rsidRDefault="00EC5C2F" w:rsidP="00472DC5">
      <w:pPr>
        <w:spacing w:after="0" w:line="240" w:lineRule="auto"/>
        <w:rPr>
          <w:sz w:val="24"/>
          <w:szCs w:val="24"/>
        </w:rPr>
      </w:pPr>
      <w:r>
        <w:rPr>
          <w:sz w:val="24"/>
          <w:szCs w:val="24"/>
        </w:rPr>
        <w:t xml:space="preserve">In FY 2018, the Office of Inspector General (OIG) raised the issue that some Self-Governance Tribes may not have received their </w:t>
      </w:r>
      <w:r w:rsidR="00025EA1">
        <w:rPr>
          <w:sz w:val="24"/>
          <w:szCs w:val="24"/>
        </w:rPr>
        <w:t>tota</w:t>
      </w:r>
      <w:r>
        <w:rPr>
          <w:sz w:val="24"/>
          <w:szCs w:val="24"/>
        </w:rPr>
        <w:t xml:space="preserve">l allocation for </w:t>
      </w:r>
      <w:proofErr w:type="spellStart"/>
      <w:r>
        <w:rPr>
          <w:sz w:val="24"/>
          <w:szCs w:val="24"/>
        </w:rPr>
        <w:t>Tiwahe</w:t>
      </w:r>
      <w:proofErr w:type="spellEnd"/>
      <w:r>
        <w:rPr>
          <w:sz w:val="24"/>
          <w:szCs w:val="24"/>
        </w:rPr>
        <w:t xml:space="preserve"> payments from 2015 to 2018. </w:t>
      </w:r>
      <w:r w:rsidRPr="00926528">
        <w:rPr>
          <w:sz w:val="24"/>
          <w:szCs w:val="24"/>
        </w:rPr>
        <w:t>The OIG recommended that each Self-Governance Tribe program line must be published annually in the Greenbook</w:t>
      </w:r>
      <w:r w:rsidR="00305659" w:rsidRPr="00926528">
        <w:rPr>
          <w:sz w:val="24"/>
          <w:szCs w:val="24"/>
        </w:rPr>
        <w:t xml:space="preserve"> and</w:t>
      </w:r>
      <w:r w:rsidR="0024767B" w:rsidRPr="00926528">
        <w:rPr>
          <w:sz w:val="24"/>
          <w:szCs w:val="24"/>
        </w:rPr>
        <w:t xml:space="preserve"> to</w:t>
      </w:r>
      <w:r w:rsidR="00DE5B4A" w:rsidRPr="00926528">
        <w:rPr>
          <w:sz w:val="24"/>
          <w:szCs w:val="24"/>
        </w:rPr>
        <w:t xml:space="preserve"> consolidate tribal government program breakouts to be identified.</w:t>
      </w:r>
      <w:r w:rsidR="00DE5B4A">
        <w:rPr>
          <w:sz w:val="24"/>
          <w:szCs w:val="24"/>
        </w:rPr>
        <w:t xml:space="preserve"> </w:t>
      </w:r>
    </w:p>
    <w:p w14:paraId="04FD321E" w14:textId="77777777" w:rsidR="00631A66" w:rsidRDefault="00631A66" w:rsidP="00472DC5">
      <w:pPr>
        <w:spacing w:after="0" w:line="240" w:lineRule="auto"/>
        <w:rPr>
          <w:sz w:val="24"/>
          <w:szCs w:val="24"/>
        </w:rPr>
      </w:pPr>
    </w:p>
    <w:p w14:paraId="22E472EA" w14:textId="10DD143B" w:rsidR="00631A66" w:rsidRDefault="008738AA" w:rsidP="00472DC5">
      <w:pPr>
        <w:spacing w:after="0" w:line="240" w:lineRule="auto"/>
        <w:rPr>
          <w:sz w:val="24"/>
          <w:szCs w:val="24"/>
        </w:rPr>
      </w:pPr>
      <w:proofErr w:type="gramStart"/>
      <w:r>
        <w:rPr>
          <w:sz w:val="24"/>
          <w:szCs w:val="24"/>
        </w:rPr>
        <w:t>The Program Formula Matrix Workgroup,</w:t>
      </w:r>
      <w:proofErr w:type="gramEnd"/>
      <w:r>
        <w:rPr>
          <w:sz w:val="24"/>
          <w:szCs w:val="24"/>
        </w:rPr>
        <w:t xml:space="preserve"> was a</w:t>
      </w:r>
      <w:r w:rsidR="00D51EAD">
        <w:rPr>
          <w:sz w:val="24"/>
          <w:szCs w:val="24"/>
        </w:rPr>
        <w:t xml:space="preserve"> federal/tribal workgroup</w:t>
      </w:r>
      <w:r>
        <w:rPr>
          <w:sz w:val="24"/>
          <w:szCs w:val="24"/>
        </w:rPr>
        <w:t xml:space="preserve"> established by SGAC.  SGAC submitted several recommendations to ASIA </w:t>
      </w:r>
      <w:r w:rsidR="00ED030F">
        <w:rPr>
          <w:sz w:val="24"/>
          <w:szCs w:val="24"/>
        </w:rPr>
        <w:t>(phase 1 in 2020 and phase 2 in 2021)</w:t>
      </w:r>
      <w:r>
        <w:rPr>
          <w:sz w:val="24"/>
          <w:szCs w:val="24"/>
        </w:rPr>
        <w:t xml:space="preserve"> including two </w:t>
      </w:r>
      <w:proofErr w:type="gramStart"/>
      <w:r>
        <w:rPr>
          <w:sz w:val="24"/>
          <w:szCs w:val="24"/>
        </w:rPr>
        <w:t>specific</w:t>
      </w:r>
      <w:proofErr w:type="gramEnd"/>
      <w:r>
        <w:rPr>
          <w:sz w:val="24"/>
          <w:szCs w:val="24"/>
        </w:rPr>
        <w:t xml:space="preserve"> to this issue</w:t>
      </w:r>
      <w:r w:rsidR="00ED030F">
        <w:rPr>
          <w:sz w:val="24"/>
          <w:szCs w:val="24"/>
        </w:rPr>
        <w:t xml:space="preserve">. </w:t>
      </w:r>
      <w:r w:rsidR="009A53DB">
        <w:rPr>
          <w:sz w:val="24"/>
          <w:szCs w:val="24"/>
        </w:rPr>
        <w:t>A response letter from ASIA addressed the TPA allocation</w:t>
      </w:r>
      <w:r w:rsidR="00A418C8">
        <w:rPr>
          <w:sz w:val="24"/>
          <w:szCs w:val="24"/>
        </w:rPr>
        <w:t xml:space="preserve"> to implement a prorated allocation of Congressional increases and decreases to individual program lines for previous years.</w:t>
      </w:r>
      <w:r w:rsidR="00DC5AAF">
        <w:rPr>
          <w:sz w:val="24"/>
          <w:szCs w:val="24"/>
        </w:rPr>
        <w:t xml:space="preserve"> </w:t>
      </w:r>
      <w:r w:rsidR="00025EA1">
        <w:rPr>
          <w:sz w:val="24"/>
          <w:szCs w:val="24"/>
        </w:rPr>
        <w:t>Congressional increases and decreases would be posted to the individual program lines in future year</w:t>
      </w:r>
      <w:r w:rsidR="00DC5AAF">
        <w:rPr>
          <w:sz w:val="24"/>
          <w:szCs w:val="24"/>
        </w:rPr>
        <w:t xml:space="preserve">s. </w:t>
      </w:r>
      <w:r w:rsidR="00AB39EE">
        <w:rPr>
          <w:sz w:val="24"/>
          <w:szCs w:val="24"/>
        </w:rPr>
        <w:t>Additionally, the</w:t>
      </w:r>
      <w:r w:rsidR="003645EC">
        <w:rPr>
          <w:sz w:val="24"/>
          <w:szCs w:val="24"/>
        </w:rPr>
        <w:t xml:space="preserve"> Pay Costs</w:t>
      </w:r>
      <w:r>
        <w:rPr>
          <w:sz w:val="24"/>
          <w:szCs w:val="24"/>
        </w:rPr>
        <w:t>,</w:t>
      </w:r>
      <w:r w:rsidR="003645EC">
        <w:rPr>
          <w:sz w:val="24"/>
          <w:szCs w:val="24"/>
        </w:rPr>
        <w:t xml:space="preserve"> Consolidated Tribal Government Program (CTPG) would be ze</w:t>
      </w:r>
      <w:r w:rsidR="00747B18">
        <w:rPr>
          <w:sz w:val="24"/>
          <w:szCs w:val="24"/>
        </w:rPr>
        <w:t>roed out</w:t>
      </w:r>
      <w:r w:rsidR="00025EA1">
        <w:rPr>
          <w:sz w:val="24"/>
          <w:szCs w:val="24"/>
        </w:rPr>
        <w:t>, breaking</w:t>
      </w:r>
      <w:r w:rsidR="00747B18">
        <w:rPr>
          <w:sz w:val="24"/>
          <w:szCs w:val="24"/>
        </w:rPr>
        <w:t xml:space="preserve"> the program amounts to the actual program line item</w:t>
      </w:r>
      <w:r w:rsidR="00E821B9">
        <w:rPr>
          <w:sz w:val="24"/>
          <w:szCs w:val="24"/>
        </w:rPr>
        <w:t xml:space="preserve">. </w:t>
      </w:r>
      <w:r w:rsidR="009E50D0">
        <w:rPr>
          <w:sz w:val="24"/>
          <w:szCs w:val="24"/>
        </w:rPr>
        <w:t>Finally, the Aid to Tribal Governments</w:t>
      </w:r>
      <w:r w:rsidR="005E501B">
        <w:rPr>
          <w:sz w:val="24"/>
          <w:szCs w:val="24"/>
        </w:rPr>
        <w:t xml:space="preserve"> (ATG)</w:t>
      </w:r>
      <w:r w:rsidR="009E50D0">
        <w:rPr>
          <w:sz w:val="24"/>
          <w:szCs w:val="24"/>
        </w:rPr>
        <w:t xml:space="preserve"> and Other Aid to Tribal Governments (OATG</w:t>
      </w:r>
      <w:r w:rsidR="0066742B">
        <w:rPr>
          <w:sz w:val="24"/>
          <w:szCs w:val="24"/>
        </w:rPr>
        <w:t>) would be broken out into individual program line items</w:t>
      </w:r>
      <w:r w:rsidR="005E501B">
        <w:rPr>
          <w:sz w:val="24"/>
          <w:szCs w:val="24"/>
        </w:rPr>
        <w:t xml:space="preserve"> – only program amounts</w:t>
      </w:r>
      <w:r w:rsidR="00025EA1">
        <w:rPr>
          <w:sz w:val="24"/>
          <w:szCs w:val="24"/>
        </w:rPr>
        <w:t>,</w:t>
      </w:r>
      <w:r w:rsidR="005E501B">
        <w:rPr>
          <w:sz w:val="24"/>
          <w:szCs w:val="24"/>
        </w:rPr>
        <w:t xml:space="preserve"> not true ATG funds</w:t>
      </w:r>
      <w:r w:rsidR="001130EA">
        <w:rPr>
          <w:sz w:val="24"/>
          <w:szCs w:val="24"/>
        </w:rPr>
        <w:t>,</w:t>
      </w:r>
      <w:r w:rsidR="005E501B">
        <w:rPr>
          <w:sz w:val="24"/>
          <w:szCs w:val="24"/>
        </w:rPr>
        <w:t xml:space="preserve"> which would remain in that account. </w:t>
      </w:r>
      <w:r w:rsidR="009E50D0">
        <w:rPr>
          <w:sz w:val="24"/>
          <w:szCs w:val="24"/>
        </w:rPr>
        <w:t xml:space="preserve"> </w:t>
      </w:r>
    </w:p>
    <w:p w14:paraId="00B0DF06" w14:textId="44CD7FED" w:rsidR="008965D7" w:rsidRDefault="008965D7" w:rsidP="00472DC5">
      <w:pPr>
        <w:spacing w:after="0" w:line="240" w:lineRule="auto"/>
        <w:rPr>
          <w:sz w:val="24"/>
          <w:szCs w:val="24"/>
        </w:rPr>
      </w:pPr>
    </w:p>
    <w:p w14:paraId="28678940" w14:textId="27D87B19" w:rsidR="0090287D" w:rsidRDefault="0090287D" w:rsidP="00472DC5">
      <w:pPr>
        <w:spacing w:after="0" w:line="240" w:lineRule="auto"/>
        <w:rPr>
          <w:sz w:val="24"/>
          <w:szCs w:val="24"/>
        </w:rPr>
      </w:pPr>
      <w:r>
        <w:rPr>
          <w:sz w:val="24"/>
          <w:szCs w:val="24"/>
        </w:rPr>
        <w:t xml:space="preserve">The aggregate net or </w:t>
      </w:r>
      <w:r w:rsidR="006A1C29">
        <w:rPr>
          <w:sz w:val="24"/>
          <w:szCs w:val="24"/>
        </w:rPr>
        <w:t>"</w:t>
      </w:r>
      <w:r>
        <w:rPr>
          <w:sz w:val="24"/>
          <w:szCs w:val="24"/>
        </w:rPr>
        <w:t>ag net</w:t>
      </w:r>
      <w:r w:rsidR="006A1C29">
        <w:rPr>
          <w:sz w:val="24"/>
          <w:szCs w:val="24"/>
        </w:rPr>
        <w:t>"</w:t>
      </w:r>
      <w:r>
        <w:rPr>
          <w:sz w:val="24"/>
          <w:szCs w:val="24"/>
        </w:rPr>
        <w:t xml:space="preserve"> i</w:t>
      </w:r>
      <w:r w:rsidR="001130EA">
        <w:rPr>
          <w:sz w:val="24"/>
          <w:szCs w:val="24"/>
        </w:rPr>
        <w:t>ncludes</w:t>
      </w:r>
      <w:r>
        <w:rPr>
          <w:sz w:val="24"/>
          <w:szCs w:val="24"/>
        </w:rPr>
        <w:t xml:space="preserve"> all tribal accounts to ensure the most accurate depiction of tribal line items. </w:t>
      </w:r>
      <w:r w:rsidR="0028757C">
        <w:rPr>
          <w:sz w:val="24"/>
          <w:szCs w:val="24"/>
        </w:rPr>
        <w:t xml:space="preserve">They have established a 2019 TPA </w:t>
      </w:r>
      <w:r w:rsidR="00497749">
        <w:rPr>
          <w:sz w:val="24"/>
          <w:szCs w:val="24"/>
        </w:rPr>
        <w:t>Base AG Net. The function is currently in development in the Self-Governance Database (SGDB)</w:t>
      </w:r>
      <w:r w:rsidR="005C2BE0">
        <w:rPr>
          <w:sz w:val="24"/>
          <w:szCs w:val="24"/>
        </w:rPr>
        <w:t xml:space="preserve">. The overall ag net has been loaded into the SGDB module. </w:t>
      </w:r>
      <w:r w:rsidR="00C36A78">
        <w:rPr>
          <w:sz w:val="24"/>
          <w:szCs w:val="24"/>
        </w:rPr>
        <w:t xml:space="preserve">Tribal presentations of </w:t>
      </w:r>
      <w:r w:rsidR="002745C1">
        <w:rPr>
          <w:sz w:val="24"/>
          <w:szCs w:val="24"/>
        </w:rPr>
        <w:t xml:space="preserve">the </w:t>
      </w:r>
      <w:r w:rsidR="00C36A78">
        <w:rPr>
          <w:sz w:val="24"/>
          <w:szCs w:val="24"/>
        </w:rPr>
        <w:t xml:space="preserve">process have commenced. Tribes will have </w:t>
      </w:r>
      <w:r w:rsidR="00DD4D50">
        <w:rPr>
          <w:sz w:val="24"/>
          <w:szCs w:val="24"/>
        </w:rPr>
        <w:t>six months</w:t>
      </w:r>
      <w:r w:rsidR="00865BDB">
        <w:rPr>
          <w:sz w:val="24"/>
          <w:szCs w:val="24"/>
        </w:rPr>
        <w:t xml:space="preserve"> </w:t>
      </w:r>
      <w:r w:rsidR="00DD4D50">
        <w:rPr>
          <w:sz w:val="24"/>
          <w:szCs w:val="24"/>
        </w:rPr>
        <w:t>to</w:t>
      </w:r>
      <w:r w:rsidR="00865BDB">
        <w:rPr>
          <w:sz w:val="24"/>
          <w:szCs w:val="24"/>
        </w:rPr>
        <w:t xml:space="preserve"> review their ag net</w:t>
      </w:r>
      <w:r w:rsidR="00DD4D50">
        <w:rPr>
          <w:sz w:val="24"/>
          <w:szCs w:val="24"/>
        </w:rPr>
        <w:t>;</w:t>
      </w:r>
      <w:r w:rsidR="00865BDB">
        <w:rPr>
          <w:sz w:val="24"/>
          <w:szCs w:val="24"/>
        </w:rPr>
        <w:t xml:space="preserve"> the </w:t>
      </w:r>
      <w:r w:rsidR="004764CB">
        <w:rPr>
          <w:sz w:val="24"/>
          <w:szCs w:val="24"/>
        </w:rPr>
        <w:t>TPA base w</w:t>
      </w:r>
      <w:r w:rsidR="00F80FBF">
        <w:rPr>
          <w:sz w:val="24"/>
          <w:szCs w:val="24"/>
        </w:rPr>
        <w:t>ill</w:t>
      </w:r>
      <w:r w:rsidR="004764CB">
        <w:rPr>
          <w:sz w:val="24"/>
          <w:szCs w:val="24"/>
        </w:rPr>
        <w:t xml:space="preserve"> be established into the SGDB. Finally, the 2025 numbers will be published in the 2026 Greenbook. </w:t>
      </w:r>
    </w:p>
    <w:p w14:paraId="0CD3AA7E" w14:textId="77777777" w:rsidR="0090287D" w:rsidRDefault="0090287D" w:rsidP="00472DC5">
      <w:pPr>
        <w:spacing w:after="0" w:line="240" w:lineRule="auto"/>
        <w:rPr>
          <w:b/>
          <w:bCs/>
          <w:i/>
          <w:iCs/>
          <w:sz w:val="24"/>
          <w:szCs w:val="24"/>
        </w:rPr>
      </w:pPr>
    </w:p>
    <w:p w14:paraId="763194F9" w14:textId="66466B16" w:rsidR="008965D7" w:rsidRDefault="008965D7" w:rsidP="00472DC5">
      <w:pPr>
        <w:spacing w:after="0" w:line="240" w:lineRule="auto"/>
        <w:rPr>
          <w:b/>
          <w:bCs/>
          <w:sz w:val="24"/>
          <w:szCs w:val="24"/>
          <w:u w:val="single"/>
        </w:rPr>
      </w:pPr>
      <w:r>
        <w:rPr>
          <w:b/>
          <w:bCs/>
          <w:sz w:val="24"/>
          <w:szCs w:val="24"/>
          <w:u w:val="single"/>
        </w:rPr>
        <w:t>SGAC Title IV Amendments Implementation Workgroup Update</w:t>
      </w:r>
    </w:p>
    <w:p w14:paraId="6CC86A2B" w14:textId="18167F1A" w:rsidR="00EF12F6" w:rsidRPr="00071BB5" w:rsidRDefault="00836054" w:rsidP="00472DC5">
      <w:pPr>
        <w:spacing w:after="0" w:line="240" w:lineRule="auto"/>
        <w:rPr>
          <w:i/>
          <w:iCs/>
          <w:sz w:val="24"/>
          <w:szCs w:val="24"/>
        </w:rPr>
      </w:pPr>
      <w:r w:rsidRPr="00071BB5">
        <w:rPr>
          <w:i/>
          <w:iCs/>
          <w:sz w:val="24"/>
          <w:szCs w:val="24"/>
        </w:rPr>
        <w:t>W. Ron Allen, Tribal Chairman/CEO, Jamestown S</w:t>
      </w:r>
      <w:r w:rsidR="006A1C29">
        <w:rPr>
          <w:i/>
          <w:iCs/>
          <w:sz w:val="24"/>
          <w:szCs w:val="24"/>
        </w:rPr>
        <w:t>'</w:t>
      </w:r>
      <w:r w:rsidRPr="00071BB5">
        <w:rPr>
          <w:i/>
          <w:iCs/>
          <w:sz w:val="24"/>
          <w:szCs w:val="24"/>
        </w:rPr>
        <w:t>Klallam Tribe</w:t>
      </w:r>
    </w:p>
    <w:p w14:paraId="66EF156E" w14:textId="77777777" w:rsidR="00D5251E" w:rsidRPr="00D5251E" w:rsidRDefault="00D5251E" w:rsidP="00472DC5">
      <w:pPr>
        <w:spacing w:after="0" w:line="240" w:lineRule="auto"/>
        <w:rPr>
          <w:sz w:val="24"/>
          <w:szCs w:val="24"/>
        </w:rPr>
      </w:pPr>
    </w:p>
    <w:p w14:paraId="5280FBEA" w14:textId="6D499684" w:rsidR="00D5251E" w:rsidRDefault="00476BEF" w:rsidP="00472DC5">
      <w:pPr>
        <w:spacing w:after="0" w:line="240" w:lineRule="auto"/>
        <w:rPr>
          <w:sz w:val="24"/>
          <w:szCs w:val="24"/>
        </w:rPr>
      </w:pPr>
      <w:r>
        <w:rPr>
          <w:sz w:val="24"/>
          <w:szCs w:val="24"/>
        </w:rPr>
        <w:t xml:space="preserve">Title IV </w:t>
      </w:r>
      <w:r w:rsidR="00A50305">
        <w:rPr>
          <w:sz w:val="24"/>
          <w:szCs w:val="24"/>
        </w:rPr>
        <w:t xml:space="preserve">amendment implementation is paused because the authorizing legislation terminated the negotiated rulemaking process in April. </w:t>
      </w:r>
      <w:r w:rsidR="007C46C0">
        <w:rPr>
          <w:sz w:val="24"/>
          <w:szCs w:val="24"/>
        </w:rPr>
        <w:t xml:space="preserve">However, the group is optimistic they will obtain a congressionally authorized extension. </w:t>
      </w:r>
      <w:r w:rsidR="0004327E">
        <w:rPr>
          <w:sz w:val="24"/>
          <w:szCs w:val="24"/>
        </w:rPr>
        <w:t xml:space="preserve">Once an extension is secured, </w:t>
      </w:r>
      <w:r w:rsidR="00D75D08">
        <w:rPr>
          <w:sz w:val="24"/>
          <w:szCs w:val="24"/>
        </w:rPr>
        <w:t xml:space="preserve">work can continue in September. </w:t>
      </w:r>
      <w:r w:rsidR="0079482F">
        <w:rPr>
          <w:sz w:val="24"/>
          <w:szCs w:val="24"/>
        </w:rPr>
        <w:t xml:space="preserve">The objective is to complete the process this year. </w:t>
      </w:r>
    </w:p>
    <w:p w14:paraId="0B9DD000" w14:textId="77777777" w:rsidR="00ED03C7" w:rsidRDefault="00ED03C7" w:rsidP="00472DC5">
      <w:pPr>
        <w:spacing w:after="0" w:line="240" w:lineRule="auto"/>
        <w:rPr>
          <w:sz w:val="24"/>
          <w:szCs w:val="24"/>
        </w:rPr>
      </w:pPr>
    </w:p>
    <w:p w14:paraId="25F3EC65" w14:textId="77777777" w:rsidR="00ED03C7" w:rsidRDefault="00ED03C7" w:rsidP="00472DC5">
      <w:pPr>
        <w:spacing w:after="0" w:line="240" w:lineRule="auto"/>
        <w:rPr>
          <w:sz w:val="24"/>
          <w:szCs w:val="24"/>
        </w:rPr>
      </w:pPr>
    </w:p>
    <w:p w14:paraId="0F15865F" w14:textId="77777777" w:rsidR="00ED03C7" w:rsidRDefault="00ED03C7" w:rsidP="00472DC5">
      <w:pPr>
        <w:spacing w:after="0" w:line="240" w:lineRule="auto"/>
        <w:rPr>
          <w:sz w:val="24"/>
          <w:szCs w:val="24"/>
        </w:rPr>
      </w:pPr>
    </w:p>
    <w:p w14:paraId="274CFB79" w14:textId="77777777" w:rsidR="00ED03C7" w:rsidRPr="00476BEF" w:rsidRDefault="00ED03C7" w:rsidP="00472DC5">
      <w:pPr>
        <w:spacing w:after="0" w:line="240" w:lineRule="auto"/>
        <w:rPr>
          <w:sz w:val="24"/>
          <w:szCs w:val="24"/>
        </w:rPr>
      </w:pPr>
    </w:p>
    <w:p w14:paraId="0D93B95E" w14:textId="77777777" w:rsidR="00D5251E" w:rsidRPr="00AA12CD" w:rsidRDefault="00D5251E" w:rsidP="00472DC5">
      <w:pPr>
        <w:spacing w:after="0" w:line="240" w:lineRule="auto"/>
        <w:rPr>
          <w:sz w:val="24"/>
          <w:szCs w:val="24"/>
        </w:rPr>
      </w:pPr>
    </w:p>
    <w:p w14:paraId="7030996E" w14:textId="3A9107FB" w:rsidR="00E06834" w:rsidRPr="00E06834" w:rsidRDefault="00EF12F6" w:rsidP="00E06834">
      <w:pPr>
        <w:spacing w:after="0" w:line="240" w:lineRule="auto"/>
        <w:rPr>
          <w:b/>
          <w:bCs/>
          <w:sz w:val="24"/>
          <w:szCs w:val="24"/>
          <w:u w:val="single"/>
        </w:rPr>
      </w:pPr>
      <w:r>
        <w:rPr>
          <w:b/>
          <w:bCs/>
          <w:sz w:val="24"/>
          <w:szCs w:val="24"/>
          <w:u w:val="single"/>
        </w:rPr>
        <w:t>Update from GAO Tribal and Indigenous Advisory Council (TIAC)</w:t>
      </w:r>
    </w:p>
    <w:p w14:paraId="712662D5" w14:textId="77777777" w:rsidR="00E06834" w:rsidRPr="00071BB5" w:rsidRDefault="00E06834" w:rsidP="00E06834">
      <w:pPr>
        <w:tabs>
          <w:tab w:val="left" w:pos="8820"/>
        </w:tabs>
        <w:spacing w:after="0" w:line="240" w:lineRule="auto"/>
        <w:rPr>
          <w:i/>
          <w:sz w:val="24"/>
          <w:szCs w:val="24"/>
        </w:rPr>
      </w:pPr>
      <w:r w:rsidRPr="00071BB5">
        <w:rPr>
          <w:i/>
          <w:sz w:val="24"/>
          <w:szCs w:val="24"/>
        </w:rPr>
        <w:t>Jay Spaan, Executive Director, SGCETC</w:t>
      </w:r>
    </w:p>
    <w:p w14:paraId="68AA7DB6" w14:textId="77777777" w:rsidR="00E06834" w:rsidRPr="007D2147" w:rsidRDefault="00E06834" w:rsidP="00E06834">
      <w:pPr>
        <w:tabs>
          <w:tab w:val="left" w:pos="8820"/>
        </w:tabs>
        <w:spacing w:after="0" w:line="240" w:lineRule="auto"/>
        <w:rPr>
          <w:iCs/>
          <w:sz w:val="24"/>
          <w:szCs w:val="24"/>
        </w:rPr>
      </w:pPr>
    </w:p>
    <w:p w14:paraId="6FA5A487" w14:textId="77777777" w:rsidR="00E06834" w:rsidRDefault="00E06834" w:rsidP="00E06834">
      <w:pPr>
        <w:tabs>
          <w:tab w:val="left" w:pos="8820"/>
        </w:tabs>
        <w:spacing w:after="0" w:line="240" w:lineRule="auto"/>
        <w:rPr>
          <w:iCs/>
          <w:sz w:val="24"/>
          <w:szCs w:val="24"/>
        </w:rPr>
      </w:pPr>
      <w:r>
        <w:rPr>
          <w:iCs/>
          <w:sz w:val="24"/>
          <w:szCs w:val="24"/>
        </w:rPr>
        <w:t xml:space="preserve">In 2022, the GAO began forming its first-ever Tribal and Indigenous Advisory Council to provide insights and recommendations on issues affecting Tribal Nations and their citizens. The Council comprises 16 members, including leaders from federally recognized Tribal Nations, a leader of a state-recognized Tribe, a leader of a Native Hawaiian organization, and experts on topics relevant to Tribal Nations and Indigenous people. SGCETC was selected to help administer and provide technical support. </w:t>
      </w:r>
    </w:p>
    <w:p w14:paraId="40A5C116" w14:textId="77777777" w:rsidR="00E06834" w:rsidRDefault="00E06834" w:rsidP="00E06834">
      <w:pPr>
        <w:tabs>
          <w:tab w:val="left" w:pos="8820"/>
        </w:tabs>
        <w:spacing w:after="0" w:line="240" w:lineRule="auto"/>
        <w:rPr>
          <w:iCs/>
          <w:sz w:val="24"/>
          <w:szCs w:val="24"/>
        </w:rPr>
      </w:pPr>
      <w:r>
        <w:rPr>
          <w:iCs/>
          <w:sz w:val="24"/>
          <w:szCs w:val="24"/>
        </w:rPr>
        <w:t xml:space="preserve">The first few meetings were focused on establishing a role for the GAO TIAC, providing input into some GAO engagements, learning about GAO's process, and identifying areas for the GAO TIAC to provide valuable input. </w:t>
      </w:r>
    </w:p>
    <w:p w14:paraId="31ED2E27" w14:textId="77777777" w:rsidR="00E06834" w:rsidRDefault="00E06834" w:rsidP="00E06834">
      <w:pPr>
        <w:tabs>
          <w:tab w:val="left" w:pos="8820"/>
        </w:tabs>
        <w:spacing w:after="0" w:line="240" w:lineRule="auto"/>
        <w:rPr>
          <w:iCs/>
          <w:sz w:val="24"/>
          <w:szCs w:val="24"/>
        </w:rPr>
      </w:pPr>
    </w:p>
    <w:p w14:paraId="73105ABE" w14:textId="77777777" w:rsidR="00E06834" w:rsidRDefault="00E06834" w:rsidP="00E06834">
      <w:pPr>
        <w:tabs>
          <w:tab w:val="left" w:pos="8820"/>
        </w:tabs>
        <w:spacing w:after="0" w:line="240" w:lineRule="auto"/>
        <w:rPr>
          <w:iCs/>
          <w:sz w:val="24"/>
          <w:szCs w:val="24"/>
        </w:rPr>
      </w:pPr>
      <w:r>
        <w:rPr>
          <w:iCs/>
          <w:sz w:val="24"/>
          <w:szCs w:val="24"/>
        </w:rPr>
        <w:t>The GAO TIAC developed the following list of priorities:</w:t>
      </w:r>
    </w:p>
    <w:p w14:paraId="55761D4A" w14:textId="77777777" w:rsidR="00E06834" w:rsidRDefault="00E06834" w:rsidP="00E06834">
      <w:pPr>
        <w:tabs>
          <w:tab w:val="left" w:pos="8820"/>
        </w:tabs>
        <w:spacing w:after="0" w:line="240" w:lineRule="auto"/>
        <w:rPr>
          <w:iCs/>
          <w:sz w:val="24"/>
          <w:szCs w:val="24"/>
        </w:rPr>
      </w:pPr>
    </w:p>
    <w:p w14:paraId="2F4E79DF"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Establish a Sr. Level Advisor to the Comptroller General for Tribal Nations</w:t>
      </w:r>
      <w:r>
        <w:rPr>
          <w:iCs/>
          <w:sz w:val="24"/>
          <w:szCs w:val="24"/>
        </w:rPr>
        <w:t>.</w:t>
      </w:r>
    </w:p>
    <w:p w14:paraId="70A63F9E"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 xml:space="preserve">Provide GAO with </w:t>
      </w:r>
      <w:r>
        <w:rPr>
          <w:iCs/>
          <w:sz w:val="24"/>
          <w:szCs w:val="24"/>
        </w:rPr>
        <w:t xml:space="preserve">the </w:t>
      </w:r>
      <w:r w:rsidRPr="009114F7">
        <w:rPr>
          <w:iCs/>
          <w:sz w:val="24"/>
          <w:szCs w:val="24"/>
        </w:rPr>
        <w:t>context needed to understand programs under its review.</w:t>
      </w:r>
    </w:p>
    <w:p w14:paraId="34E387E9"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Identify areas in need of GAO review and attention.</w:t>
      </w:r>
    </w:p>
    <w:p w14:paraId="17E1C4B2"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 xml:space="preserve">Evaluate criteria to determine if </w:t>
      </w:r>
      <w:r>
        <w:rPr>
          <w:iCs/>
          <w:sz w:val="24"/>
          <w:szCs w:val="24"/>
        </w:rPr>
        <w:t>they</w:t>
      </w:r>
      <w:r w:rsidRPr="009114F7">
        <w:rPr>
          <w:iCs/>
          <w:sz w:val="24"/>
          <w:szCs w:val="24"/>
        </w:rPr>
        <w:t xml:space="preserve"> align with Trust and Treaty obligations and responsibilities.</w:t>
      </w:r>
    </w:p>
    <w:p w14:paraId="4B43AC57"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Incorporate principles of data sovereignty in its process.</w:t>
      </w:r>
    </w:p>
    <w:p w14:paraId="7E3770F9" w14:textId="77777777" w:rsidR="00E06834" w:rsidRPr="009114F7" w:rsidRDefault="00E06834" w:rsidP="00E06834">
      <w:pPr>
        <w:pStyle w:val="ListParagraph"/>
        <w:numPr>
          <w:ilvl w:val="0"/>
          <w:numId w:val="42"/>
        </w:numPr>
        <w:tabs>
          <w:tab w:val="left" w:pos="8820"/>
        </w:tabs>
        <w:spacing w:after="0" w:line="240" w:lineRule="auto"/>
        <w:rPr>
          <w:iCs/>
          <w:sz w:val="24"/>
          <w:szCs w:val="24"/>
        </w:rPr>
      </w:pPr>
      <w:r w:rsidRPr="009114F7">
        <w:rPr>
          <w:iCs/>
          <w:sz w:val="24"/>
          <w:szCs w:val="24"/>
        </w:rPr>
        <w:t xml:space="preserve">Work collaboratively to develop a path forward for removing IHS, BIE, and BIA from its High-Risk list. </w:t>
      </w:r>
    </w:p>
    <w:p w14:paraId="44C54A50" w14:textId="77777777" w:rsidR="00676020" w:rsidRDefault="00676020" w:rsidP="00472DC5">
      <w:pPr>
        <w:spacing w:after="0" w:line="240" w:lineRule="auto"/>
        <w:rPr>
          <w:b/>
          <w:bCs/>
          <w:i/>
          <w:iCs/>
          <w:sz w:val="24"/>
          <w:szCs w:val="24"/>
        </w:rPr>
      </w:pPr>
    </w:p>
    <w:p w14:paraId="5CF16A1C" w14:textId="12A9EE68" w:rsidR="00B15C86" w:rsidRPr="008D3034" w:rsidRDefault="00C34B0F" w:rsidP="00B15C86">
      <w:pPr>
        <w:spacing w:after="0" w:line="240" w:lineRule="auto"/>
        <w:rPr>
          <w:b/>
          <w:bCs/>
          <w:sz w:val="24"/>
          <w:szCs w:val="24"/>
          <w:u w:val="single"/>
        </w:rPr>
      </w:pPr>
      <w:r>
        <w:rPr>
          <w:b/>
          <w:bCs/>
          <w:sz w:val="24"/>
          <w:szCs w:val="24"/>
          <w:u w:val="single"/>
        </w:rPr>
        <w:t xml:space="preserve"> IA </w:t>
      </w:r>
      <w:r w:rsidR="00B15C86" w:rsidRPr="008D3034">
        <w:rPr>
          <w:b/>
          <w:bCs/>
          <w:sz w:val="24"/>
          <w:szCs w:val="24"/>
          <w:u w:val="single"/>
        </w:rPr>
        <w:t>Budget Update</w:t>
      </w:r>
    </w:p>
    <w:p w14:paraId="348099B3" w14:textId="77777777" w:rsidR="00B15C86" w:rsidRPr="00071BB5" w:rsidRDefault="00B15C86" w:rsidP="00B15C86">
      <w:pPr>
        <w:spacing w:after="0" w:line="240" w:lineRule="auto"/>
        <w:rPr>
          <w:i/>
          <w:iCs/>
          <w:sz w:val="24"/>
          <w:szCs w:val="24"/>
        </w:rPr>
      </w:pPr>
      <w:r w:rsidRPr="00071BB5">
        <w:rPr>
          <w:i/>
          <w:iCs/>
          <w:sz w:val="24"/>
          <w:szCs w:val="24"/>
        </w:rPr>
        <w:t>Jeannine Brooks, Deputy Director, Office of Budget and Performance Management, BIA</w:t>
      </w:r>
    </w:p>
    <w:p w14:paraId="44954696" w14:textId="77777777" w:rsidR="00B15C86" w:rsidRPr="00071BB5" w:rsidRDefault="00B15C86" w:rsidP="00B15C86">
      <w:pPr>
        <w:spacing w:after="0" w:line="240" w:lineRule="auto"/>
        <w:rPr>
          <w:i/>
          <w:iCs/>
          <w:sz w:val="24"/>
          <w:szCs w:val="24"/>
        </w:rPr>
      </w:pPr>
      <w:r w:rsidRPr="00071BB5">
        <w:rPr>
          <w:i/>
          <w:iCs/>
          <w:sz w:val="24"/>
          <w:szCs w:val="24"/>
        </w:rPr>
        <w:t xml:space="preserve">Matt Vogel, Policy Lead – Appropriations and Federal Budget, NCAI, </w:t>
      </w:r>
    </w:p>
    <w:p w14:paraId="74F433F5" w14:textId="77777777" w:rsidR="003F117E" w:rsidRDefault="003F117E" w:rsidP="00B15C86">
      <w:pPr>
        <w:spacing w:after="0" w:line="240" w:lineRule="auto"/>
        <w:rPr>
          <w:b/>
          <w:bCs/>
          <w:sz w:val="24"/>
          <w:szCs w:val="24"/>
          <w:u w:val="single"/>
        </w:rPr>
      </w:pPr>
    </w:p>
    <w:p w14:paraId="7A6A8E45" w14:textId="1ECCAA0F" w:rsidR="00DA3C61" w:rsidRDefault="00DA3C61" w:rsidP="00B15C86">
      <w:pPr>
        <w:spacing w:after="0" w:line="240" w:lineRule="auto"/>
        <w:rPr>
          <w:b/>
          <w:bCs/>
          <w:sz w:val="24"/>
          <w:szCs w:val="24"/>
        </w:rPr>
      </w:pPr>
      <w:r w:rsidRPr="00DA3C61">
        <w:rPr>
          <w:b/>
          <w:bCs/>
          <w:sz w:val="24"/>
          <w:szCs w:val="24"/>
        </w:rPr>
        <w:t xml:space="preserve">Jeannine Brooks </w:t>
      </w:r>
    </w:p>
    <w:p w14:paraId="45957B94" w14:textId="77777777" w:rsidR="00DA3C61" w:rsidRPr="00DA3C61" w:rsidRDefault="00DA3C61" w:rsidP="00B15C86">
      <w:pPr>
        <w:spacing w:after="0" w:line="240" w:lineRule="auto"/>
        <w:rPr>
          <w:b/>
          <w:bCs/>
          <w:sz w:val="24"/>
          <w:szCs w:val="24"/>
        </w:rPr>
      </w:pPr>
    </w:p>
    <w:p w14:paraId="1BF23C47" w14:textId="3BA8B352" w:rsidR="00962FD5" w:rsidRDefault="00DA3C61" w:rsidP="00B15C86">
      <w:pPr>
        <w:spacing w:after="0" w:line="240" w:lineRule="auto"/>
        <w:rPr>
          <w:sz w:val="24"/>
          <w:szCs w:val="24"/>
        </w:rPr>
      </w:pPr>
      <w:r>
        <w:rPr>
          <w:sz w:val="24"/>
          <w:szCs w:val="24"/>
        </w:rPr>
        <w:t xml:space="preserve">The </w:t>
      </w:r>
      <w:r w:rsidR="00962FD5" w:rsidRPr="00962FD5">
        <w:rPr>
          <w:sz w:val="24"/>
          <w:szCs w:val="24"/>
        </w:rPr>
        <w:t>House and Senate released the 2024 proposed allocations.</w:t>
      </w:r>
      <w:r w:rsidR="00B876ED">
        <w:rPr>
          <w:sz w:val="24"/>
          <w:szCs w:val="24"/>
        </w:rPr>
        <w:t xml:space="preserve"> The House markup was released on July 12, and the full committee report was released on July 18. The Senat</w:t>
      </w:r>
      <w:r w:rsidR="0093400F">
        <w:rPr>
          <w:sz w:val="24"/>
          <w:szCs w:val="24"/>
        </w:rPr>
        <w:t>e markup and committee report was released on July 28.</w:t>
      </w:r>
      <w:r w:rsidR="003A69BF">
        <w:rPr>
          <w:sz w:val="24"/>
          <w:szCs w:val="24"/>
        </w:rPr>
        <w:t xml:space="preserve"> </w:t>
      </w:r>
      <w:r w:rsidR="009A317F">
        <w:rPr>
          <w:sz w:val="24"/>
          <w:szCs w:val="24"/>
        </w:rPr>
        <w:t>The total reduction to the Interior and Environment bill i</w:t>
      </w:r>
      <w:r w:rsidR="00336A4D">
        <w:rPr>
          <w:sz w:val="24"/>
          <w:szCs w:val="24"/>
        </w:rPr>
        <w:t xml:space="preserve">s $13.4B (-35%), and the Senate </w:t>
      </w:r>
      <w:r w:rsidR="00976B62">
        <w:rPr>
          <w:sz w:val="24"/>
          <w:szCs w:val="24"/>
        </w:rPr>
        <w:t>bill is $1B (-3%) below Fiscal Year 2023. However, the</w:t>
      </w:r>
      <w:r w:rsidR="00BD0CC5">
        <w:rPr>
          <w:sz w:val="24"/>
          <w:szCs w:val="24"/>
        </w:rPr>
        <w:t xml:space="preserve"> House </w:t>
      </w:r>
      <w:r w:rsidR="0097772D">
        <w:rPr>
          <w:sz w:val="24"/>
          <w:szCs w:val="24"/>
        </w:rPr>
        <w:t xml:space="preserve">provides +$141.4M above FY 2023, and the Senate provides </w:t>
      </w:r>
      <w:r w:rsidR="002233A6">
        <w:rPr>
          <w:sz w:val="24"/>
          <w:szCs w:val="24"/>
        </w:rPr>
        <w:t>+$78.2M above FY 2023. On the BIE side, the House provides -$1.9M below FY 2023</w:t>
      </w:r>
      <w:r w:rsidR="003F59AB">
        <w:rPr>
          <w:sz w:val="24"/>
          <w:szCs w:val="24"/>
        </w:rPr>
        <w:t xml:space="preserve">, and the Senate provides +$78.2M above FY 2023. </w:t>
      </w:r>
    </w:p>
    <w:p w14:paraId="6FE88963" w14:textId="77777777" w:rsidR="00DA3C61" w:rsidRDefault="00DA3C61" w:rsidP="00B15C86">
      <w:pPr>
        <w:spacing w:after="0" w:line="240" w:lineRule="auto"/>
        <w:rPr>
          <w:sz w:val="24"/>
          <w:szCs w:val="24"/>
        </w:rPr>
      </w:pPr>
    </w:p>
    <w:p w14:paraId="5733D7CC" w14:textId="43928A72" w:rsidR="00DA3C61" w:rsidRDefault="00DA3C61" w:rsidP="00B15C86">
      <w:pPr>
        <w:spacing w:after="0" w:line="240" w:lineRule="auto"/>
        <w:rPr>
          <w:b/>
          <w:bCs/>
          <w:sz w:val="24"/>
          <w:szCs w:val="24"/>
        </w:rPr>
      </w:pPr>
      <w:r w:rsidRPr="00DA3C61">
        <w:rPr>
          <w:b/>
          <w:bCs/>
          <w:sz w:val="24"/>
          <w:szCs w:val="24"/>
        </w:rPr>
        <w:t xml:space="preserve">Matt Vogel </w:t>
      </w:r>
    </w:p>
    <w:p w14:paraId="1B0A54A8" w14:textId="77777777" w:rsidR="00DA3C61" w:rsidRDefault="00DA3C61" w:rsidP="00B15C86">
      <w:pPr>
        <w:spacing w:after="0" w:line="240" w:lineRule="auto"/>
        <w:rPr>
          <w:b/>
          <w:bCs/>
          <w:sz w:val="24"/>
          <w:szCs w:val="24"/>
        </w:rPr>
      </w:pPr>
    </w:p>
    <w:p w14:paraId="21FFD5D6" w14:textId="14D494BC" w:rsidR="00DA3C61" w:rsidRDefault="00620436" w:rsidP="00B15C86">
      <w:pPr>
        <w:spacing w:after="0" w:line="240" w:lineRule="auto"/>
        <w:rPr>
          <w:sz w:val="24"/>
          <w:szCs w:val="24"/>
        </w:rPr>
      </w:pPr>
      <w:r w:rsidRPr="00676E00">
        <w:rPr>
          <w:sz w:val="24"/>
          <w:szCs w:val="24"/>
        </w:rPr>
        <w:t xml:space="preserve">During the 2023 crisis, the federal debt reached its debt limit of $31.4 </w:t>
      </w:r>
      <w:r w:rsidR="000A78B3">
        <w:rPr>
          <w:sz w:val="24"/>
          <w:szCs w:val="24"/>
        </w:rPr>
        <w:t>t</w:t>
      </w:r>
      <w:r w:rsidRPr="00676E00">
        <w:rPr>
          <w:sz w:val="24"/>
          <w:szCs w:val="24"/>
        </w:rPr>
        <w:t>rillion.</w:t>
      </w:r>
      <w:r w:rsidR="00676E00" w:rsidRPr="00676E00">
        <w:rPr>
          <w:sz w:val="24"/>
          <w:szCs w:val="24"/>
        </w:rPr>
        <w:t xml:space="preserve"> To avert a default, lawmakers eventually </w:t>
      </w:r>
      <w:r w:rsidR="00B077C1">
        <w:rPr>
          <w:sz w:val="24"/>
          <w:szCs w:val="24"/>
        </w:rPr>
        <w:t>agreed</w:t>
      </w:r>
      <w:r w:rsidR="00676E00" w:rsidRPr="00676E00">
        <w:rPr>
          <w:sz w:val="24"/>
          <w:szCs w:val="24"/>
        </w:rPr>
        <w:t xml:space="preserve"> to raise the debt limit and passed P.L. 1185: Fiscal Responsibility Act of 2023. </w:t>
      </w:r>
      <w:r w:rsidR="00651C56">
        <w:rPr>
          <w:sz w:val="24"/>
          <w:szCs w:val="24"/>
        </w:rPr>
        <w:t xml:space="preserve">The act includes caps on discretionary funding and </w:t>
      </w:r>
      <w:r w:rsidR="000A78B3">
        <w:rPr>
          <w:sz w:val="24"/>
          <w:szCs w:val="24"/>
        </w:rPr>
        <w:t xml:space="preserve">rescission of unobligated funds. The CBO estimates that the title would permanently rescind $27.1 billion over the 2023-2033 period. </w:t>
      </w:r>
    </w:p>
    <w:p w14:paraId="693ADF3A" w14:textId="77777777" w:rsidR="000A78B3" w:rsidRDefault="000A78B3" w:rsidP="00B15C86">
      <w:pPr>
        <w:spacing w:after="0" w:line="240" w:lineRule="auto"/>
        <w:rPr>
          <w:sz w:val="24"/>
          <w:szCs w:val="24"/>
        </w:rPr>
      </w:pPr>
    </w:p>
    <w:p w14:paraId="7F2A2617" w14:textId="12212CF1" w:rsidR="00883672" w:rsidRDefault="00D90CA1" w:rsidP="00B15C86">
      <w:pPr>
        <w:spacing w:after="0" w:line="240" w:lineRule="auto"/>
        <w:rPr>
          <w:sz w:val="24"/>
          <w:szCs w:val="24"/>
        </w:rPr>
      </w:pPr>
      <w:r>
        <w:rPr>
          <w:sz w:val="24"/>
          <w:szCs w:val="24"/>
        </w:rPr>
        <w:t xml:space="preserve">Regarding </w:t>
      </w:r>
      <w:r w:rsidR="009E5E0E">
        <w:rPr>
          <w:sz w:val="24"/>
          <w:szCs w:val="24"/>
        </w:rPr>
        <w:t>FY 2024 appropriations, the committee report rejects the Administration</w:t>
      </w:r>
      <w:r w:rsidR="006A1C29">
        <w:rPr>
          <w:sz w:val="24"/>
          <w:szCs w:val="24"/>
        </w:rPr>
        <w:t>'</w:t>
      </w:r>
      <w:r w:rsidR="009E5E0E">
        <w:rPr>
          <w:sz w:val="24"/>
          <w:szCs w:val="24"/>
        </w:rPr>
        <w:t xml:space="preserve">s proposal to reclassify Contract Support Costs and Payments for Tribal </w:t>
      </w:r>
      <w:r w:rsidR="00055344">
        <w:rPr>
          <w:sz w:val="24"/>
          <w:szCs w:val="24"/>
        </w:rPr>
        <w:t xml:space="preserve">Leases as mandatory funding. It accepts the proposal to move the Office of Hearing and Appeals (OHA) under the BIA. It </w:t>
      </w:r>
      <w:r w:rsidR="004375CE">
        <w:rPr>
          <w:sz w:val="24"/>
          <w:szCs w:val="24"/>
        </w:rPr>
        <w:t xml:space="preserve">does not provide funding for LWCF Tribal Land Acquisition. </w:t>
      </w:r>
    </w:p>
    <w:p w14:paraId="3166FD1C" w14:textId="77777777" w:rsidR="00883672" w:rsidRDefault="00883672" w:rsidP="00B15C86">
      <w:pPr>
        <w:spacing w:after="0" w:line="240" w:lineRule="auto"/>
        <w:rPr>
          <w:sz w:val="24"/>
          <w:szCs w:val="24"/>
        </w:rPr>
      </w:pPr>
    </w:p>
    <w:p w14:paraId="3615DF5C" w14:textId="4397259A" w:rsidR="00031594" w:rsidRDefault="00883672" w:rsidP="00B15C86">
      <w:pPr>
        <w:spacing w:after="0" w:line="240" w:lineRule="auto"/>
        <w:rPr>
          <w:sz w:val="24"/>
          <w:szCs w:val="24"/>
        </w:rPr>
      </w:pPr>
      <w:r>
        <w:rPr>
          <w:sz w:val="24"/>
          <w:szCs w:val="24"/>
        </w:rPr>
        <w:t xml:space="preserve">The Next Tribal/Interior Budget Council (TIBC) meeting is scheduled for November 6-9, 2023. </w:t>
      </w:r>
      <w:r w:rsidR="00461D45">
        <w:rPr>
          <w:sz w:val="24"/>
          <w:szCs w:val="24"/>
        </w:rPr>
        <w:t xml:space="preserve">Spring meetings for TIBC are tribal budget submission meetings. This meeting will formulate the FY 2026 request for Indian Affairs programs. </w:t>
      </w:r>
      <w:r w:rsidR="001D0FFD">
        <w:rPr>
          <w:sz w:val="24"/>
          <w:szCs w:val="24"/>
        </w:rPr>
        <w:t>The preferred program ranking tool process is on an every-other-year schedule, and this is an off</w:t>
      </w:r>
      <w:r w:rsidR="00B077C1">
        <w:rPr>
          <w:sz w:val="24"/>
          <w:szCs w:val="24"/>
        </w:rPr>
        <w:t>-</w:t>
      </w:r>
      <w:r w:rsidR="001D0FFD">
        <w:rPr>
          <w:sz w:val="24"/>
          <w:szCs w:val="24"/>
        </w:rPr>
        <w:t>year. TIBC data profile work is ongoing, w</w:t>
      </w:r>
      <w:r w:rsidR="00001C60">
        <w:rPr>
          <w:sz w:val="24"/>
          <w:szCs w:val="24"/>
        </w:rPr>
        <w:t xml:space="preserve">ith subcommittees considering programs that address unique data collection, privacy, or improvement concerns. </w:t>
      </w:r>
    </w:p>
    <w:p w14:paraId="61CE77A9" w14:textId="77777777" w:rsidR="00031594" w:rsidRDefault="00031594" w:rsidP="00B15C86">
      <w:pPr>
        <w:spacing w:after="0" w:line="240" w:lineRule="auto"/>
        <w:rPr>
          <w:sz w:val="24"/>
          <w:szCs w:val="24"/>
        </w:rPr>
      </w:pPr>
    </w:p>
    <w:p w14:paraId="1FF8602A" w14:textId="4685E90B" w:rsidR="000A78B3" w:rsidRPr="00676E00" w:rsidRDefault="00031594" w:rsidP="00B15C86">
      <w:pPr>
        <w:spacing w:after="0" w:line="240" w:lineRule="auto"/>
        <w:rPr>
          <w:sz w:val="24"/>
          <w:szCs w:val="24"/>
        </w:rPr>
      </w:pPr>
      <w:r>
        <w:rPr>
          <w:sz w:val="24"/>
          <w:szCs w:val="24"/>
        </w:rPr>
        <w:t xml:space="preserve">TIBC documents can be viewed at </w:t>
      </w:r>
      <w:hyperlink r:id="rId10" w:history="1">
        <w:r w:rsidR="0018331C" w:rsidRPr="001C3B8A">
          <w:rPr>
            <w:rStyle w:val="Hyperlink"/>
            <w:sz w:val="24"/>
            <w:szCs w:val="24"/>
          </w:rPr>
          <w:t>https://www.ncai.org/initiatives/tibc/tibc-documents</w:t>
        </w:r>
      </w:hyperlink>
      <w:r>
        <w:rPr>
          <w:sz w:val="24"/>
          <w:szCs w:val="24"/>
        </w:rPr>
        <w:t xml:space="preserve">. </w:t>
      </w:r>
    </w:p>
    <w:p w14:paraId="5E04FDFE" w14:textId="77777777" w:rsidR="000B41A8" w:rsidRDefault="000B41A8" w:rsidP="008E1F03">
      <w:pPr>
        <w:spacing w:after="0" w:line="240" w:lineRule="auto"/>
        <w:rPr>
          <w:sz w:val="24"/>
          <w:szCs w:val="24"/>
        </w:rPr>
      </w:pPr>
    </w:p>
    <w:p w14:paraId="52ABC6EB" w14:textId="30D4AAE9" w:rsidR="000B41A8" w:rsidRDefault="000B41A8" w:rsidP="008E1F03">
      <w:pPr>
        <w:spacing w:after="0" w:line="240" w:lineRule="auto"/>
        <w:rPr>
          <w:b/>
          <w:bCs/>
          <w:sz w:val="24"/>
          <w:szCs w:val="24"/>
          <w:u w:val="single"/>
        </w:rPr>
      </w:pPr>
      <w:r w:rsidRPr="000B41A8">
        <w:rPr>
          <w:b/>
          <w:bCs/>
          <w:sz w:val="24"/>
          <w:szCs w:val="24"/>
          <w:u w:val="single"/>
        </w:rPr>
        <w:t>Tribal Climate Resilience Program</w:t>
      </w:r>
    </w:p>
    <w:p w14:paraId="72E9C8FF" w14:textId="3E3A6BAB" w:rsidR="000B41A8" w:rsidRPr="00071BB5" w:rsidRDefault="0032451D" w:rsidP="008E1F03">
      <w:pPr>
        <w:spacing w:after="0" w:line="240" w:lineRule="auto"/>
        <w:rPr>
          <w:i/>
          <w:iCs/>
          <w:sz w:val="24"/>
          <w:szCs w:val="24"/>
        </w:rPr>
      </w:pPr>
      <w:r w:rsidRPr="00071BB5">
        <w:rPr>
          <w:i/>
          <w:iCs/>
          <w:sz w:val="24"/>
          <w:szCs w:val="24"/>
        </w:rPr>
        <w:t>John Mosley, TCR Branch Chief,</w:t>
      </w:r>
      <w:r w:rsidR="008965D7" w:rsidRPr="00071BB5">
        <w:rPr>
          <w:i/>
          <w:iCs/>
          <w:sz w:val="24"/>
          <w:szCs w:val="24"/>
        </w:rPr>
        <w:t xml:space="preserve"> </w:t>
      </w:r>
      <w:r w:rsidRPr="00071BB5">
        <w:rPr>
          <w:i/>
          <w:iCs/>
          <w:sz w:val="24"/>
          <w:szCs w:val="24"/>
        </w:rPr>
        <w:t>DOI</w:t>
      </w:r>
    </w:p>
    <w:p w14:paraId="283D8562" w14:textId="77777777" w:rsidR="0018331C" w:rsidRDefault="0018331C" w:rsidP="008E1F03">
      <w:pPr>
        <w:spacing w:after="0" w:line="240" w:lineRule="auto"/>
        <w:rPr>
          <w:b/>
          <w:bCs/>
          <w:i/>
          <w:iCs/>
          <w:sz w:val="24"/>
          <w:szCs w:val="24"/>
        </w:rPr>
      </w:pPr>
    </w:p>
    <w:p w14:paraId="46974DE2" w14:textId="0CAB75FE" w:rsidR="0018331C" w:rsidRDefault="00D84988" w:rsidP="008E1F03">
      <w:pPr>
        <w:spacing w:after="0" w:line="240" w:lineRule="auto"/>
        <w:rPr>
          <w:sz w:val="24"/>
          <w:szCs w:val="24"/>
        </w:rPr>
      </w:pPr>
      <w:r>
        <w:rPr>
          <w:sz w:val="24"/>
          <w:szCs w:val="24"/>
        </w:rPr>
        <w:t>The Tribal</w:t>
      </w:r>
      <w:r w:rsidR="00D64599">
        <w:rPr>
          <w:sz w:val="24"/>
          <w:szCs w:val="24"/>
        </w:rPr>
        <w:t xml:space="preserve"> Climate Resilience Program (TCR) </w:t>
      </w:r>
      <w:r w:rsidR="00B077C1">
        <w:rPr>
          <w:sz w:val="24"/>
          <w:szCs w:val="24"/>
        </w:rPr>
        <w:t>aim</w:t>
      </w:r>
      <w:r w:rsidR="00D64599">
        <w:rPr>
          <w:sz w:val="24"/>
          <w:szCs w:val="24"/>
        </w:rPr>
        <w:t xml:space="preserve">s to provide technical and financial assistance to support climate preparedness and resilience for all </w:t>
      </w:r>
      <w:r w:rsidR="00C43627">
        <w:rPr>
          <w:sz w:val="24"/>
          <w:szCs w:val="24"/>
        </w:rPr>
        <w:t>federally recognized</w:t>
      </w:r>
      <w:r w:rsidR="00BB5BAB">
        <w:rPr>
          <w:sz w:val="24"/>
          <w:szCs w:val="24"/>
        </w:rPr>
        <w:t xml:space="preserve"> Tribes. </w:t>
      </w:r>
    </w:p>
    <w:p w14:paraId="5D85BDEF" w14:textId="24AF60E4" w:rsidR="00BB5BAB" w:rsidRDefault="00C43627" w:rsidP="008E1F03">
      <w:pPr>
        <w:spacing w:after="0" w:line="240" w:lineRule="auto"/>
        <w:rPr>
          <w:sz w:val="24"/>
          <w:szCs w:val="24"/>
        </w:rPr>
      </w:pPr>
      <w:r>
        <w:rPr>
          <w:sz w:val="24"/>
          <w:szCs w:val="24"/>
        </w:rPr>
        <w:t>The annual awards program</w:t>
      </w:r>
      <w:r w:rsidR="00AF59B6">
        <w:rPr>
          <w:sz w:val="24"/>
          <w:szCs w:val="24"/>
        </w:rPr>
        <w:t xml:space="preserve"> aim</w:t>
      </w:r>
      <w:r>
        <w:rPr>
          <w:sz w:val="24"/>
          <w:szCs w:val="24"/>
        </w:rPr>
        <w:t xml:space="preserve">s to </w:t>
      </w:r>
      <w:r w:rsidR="00AF59B6">
        <w:rPr>
          <w:sz w:val="24"/>
          <w:szCs w:val="24"/>
        </w:rPr>
        <w:t>fund</w:t>
      </w:r>
      <w:r>
        <w:rPr>
          <w:sz w:val="24"/>
          <w:szCs w:val="24"/>
        </w:rPr>
        <w:t xml:space="preserve"> federally recognized Tribes to achieve</w:t>
      </w:r>
      <w:r w:rsidR="00F0542B">
        <w:rPr>
          <w:sz w:val="24"/>
          <w:szCs w:val="24"/>
        </w:rPr>
        <w:t xml:space="preserve"> their climate adaptation, planning</w:t>
      </w:r>
      <w:r w:rsidR="002D686B">
        <w:rPr>
          <w:sz w:val="24"/>
          <w:szCs w:val="24"/>
        </w:rPr>
        <w:t>,</w:t>
      </w:r>
      <w:r w:rsidR="00F0542B">
        <w:rPr>
          <w:sz w:val="24"/>
          <w:szCs w:val="24"/>
        </w:rPr>
        <w:t xml:space="preserve"> and implementation goals. </w:t>
      </w:r>
    </w:p>
    <w:p w14:paraId="74C125DA" w14:textId="77777777" w:rsidR="00A55B4A" w:rsidRDefault="00A55B4A" w:rsidP="008E1F03">
      <w:pPr>
        <w:spacing w:after="0" w:line="240" w:lineRule="auto"/>
        <w:rPr>
          <w:sz w:val="24"/>
          <w:szCs w:val="24"/>
        </w:rPr>
      </w:pPr>
    </w:p>
    <w:p w14:paraId="6394872D" w14:textId="5613FC59" w:rsidR="00BB5BAB" w:rsidRDefault="0045794A" w:rsidP="008E1F03">
      <w:pPr>
        <w:spacing w:after="0" w:line="240" w:lineRule="auto"/>
        <w:rPr>
          <w:sz w:val="24"/>
          <w:szCs w:val="24"/>
        </w:rPr>
      </w:pPr>
      <w:r>
        <w:rPr>
          <w:sz w:val="24"/>
          <w:szCs w:val="24"/>
        </w:rPr>
        <w:t xml:space="preserve">Requests for proposals </w:t>
      </w:r>
      <w:r w:rsidR="002D686B">
        <w:rPr>
          <w:sz w:val="24"/>
          <w:szCs w:val="24"/>
        </w:rPr>
        <w:t xml:space="preserve">will </w:t>
      </w:r>
      <w:r>
        <w:rPr>
          <w:sz w:val="24"/>
          <w:szCs w:val="24"/>
        </w:rPr>
        <w:t>ope</w:t>
      </w:r>
      <w:r w:rsidR="002D686B">
        <w:rPr>
          <w:sz w:val="24"/>
          <w:szCs w:val="24"/>
        </w:rPr>
        <w:t>n from</w:t>
      </w:r>
      <w:r>
        <w:rPr>
          <w:sz w:val="24"/>
          <w:szCs w:val="24"/>
        </w:rPr>
        <w:t xml:space="preserve"> July 19 </w:t>
      </w:r>
      <w:r w:rsidR="002D686B">
        <w:rPr>
          <w:sz w:val="24"/>
          <w:szCs w:val="24"/>
        </w:rPr>
        <w:t xml:space="preserve">to </w:t>
      </w:r>
      <w:r>
        <w:rPr>
          <w:sz w:val="24"/>
          <w:szCs w:val="24"/>
        </w:rPr>
        <w:t xml:space="preserve">October 13, 2023. Award announcements are expected in January 2024. </w:t>
      </w:r>
      <w:r w:rsidR="00461493">
        <w:rPr>
          <w:sz w:val="24"/>
          <w:szCs w:val="24"/>
        </w:rPr>
        <w:t>The total amount available is $120 million. Other entities may participate as sub-awardees</w:t>
      </w:r>
      <w:r w:rsidR="00692905">
        <w:rPr>
          <w:sz w:val="24"/>
          <w:szCs w:val="24"/>
        </w:rPr>
        <w:t xml:space="preserve">. Project timelines should be no more than two years. </w:t>
      </w:r>
    </w:p>
    <w:p w14:paraId="0533F788" w14:textId="77777777" w:rsidR="0081577C" w:rsidRDefault="0081577C" w:rsidP="008E1F03">
      <w:pPr>
        <w:spacing w:after="0" w:line="240" w:lineRule="auto"/>
        <w:rPr>
          <w:sz w:val="24"/>
          <w:szCs w:val="24"/>
        </w:rPr>
      </w:pPr>
    </w:p>
    <w:p w14:paraId="1C1C19B9" w14:textId="5674A3F2" w:rsidR="0081577C" w:rsidRPr="0018331C" w:rsidRDefault="0081577C" w:rsidP="008E1F03">
      <w:pPr>
        <w:spacing w:after="0" w:line="240" w:lineRule="auto"/>
        <w:rPr>
          <w:sz w:val="24"/>
          <w:szCs w:val="24"/>
        </w:rPr>
      </w:pPr>
      <w:r>
        <w:rPr>
          <w:sz w:val="24"/>
          <w:szCs w:val="24"/>
        </w:rPr>
        <w:t>For additional information, please visit</w:t>
      </w:r>
      <w:r w:rsidR="00FF092F">
        <w:rPr>
          <w:sz w:val="24"/>
          <w:szCs w:val="24"/>
        </w:rPr>
        <w:t xml:space="preserve"> </w:t>
      </w:r>
      <w:hyperlink r:id="rId11" w:history="1">
        <w:r w:rsidR="005333B7" w:rsidRPr="001C3B8A">
          <w:rPr>
            <w:rStyle w:val="Hyperlink"/>
            <w:sz w:val="24"/>
            <w:szCs w:val="24"/>
          </w:rPr>
          <w:t>www.bia.gov/service/tcr-annual-awards-program</w:t>
        </w:r>
      </w:hyperlink>
      <w:r w:rsidR="005333B7">
        <w:rPr>
          <w:sz w:val="24"/>
          <w:szCs w:val="24"/>
        </w:rPr>
        <w:t xml:space="preserve">. </w:t>
      </w:r>
      <w:r>
        <w:rPr>
          <w:sz w:val="24"/>
          <w:szCs w:val="24"/>
        </w:rPr>
        <w:t xml:space="preserve"> </w:t>
      </w:r>
    </w:p>
    <w:p w14:paraId="41C50C71" w14:textId="77777777" w:rsidR="000B41A8" w:rsidRDefault="000B41A8" w:rsidP="008E1F03">
      <w:pPr>
        <w:spacing w:after="0" w:line="240" w:lineRule="auto"/>
        <w:rPr>
          <w:sz w:val="24"/>
          <w:szCs w:val="24"/>
        </w:rPr>
      </w:pPr>
    </w:p>
    <w:p w14:paraId="4624CBE7" w14:textId="019BD15D" w:rsidR="00FF0453" w:rsidRPr="00FF0453" w:rsidRDefault="00FF0453" w:rsidP="00FF0453">
      <w:pPr>
        <w:spacing w:after="0" w:line="240" w:lineRule="auto"/>
        <w:rPr>
          <w:b/>
          <w:bCs/>
          <w:sz w:val="24"/>
          <w:szCs w:val="24"/>
          <w:u w:val="single"/>
        </w:rPr>
      </w:pPr>
      <w:r w:rsidRPr="00FF0453">
        <w:rPr>
          <w:b/>
          <w:bCs/>
          <w:sz w:val="24"/>
          <w:szCs w:val="24"/>
          <w:u w:val="single"/>
        </w:rPr>
        <w:t xml:space="preserve">DOI STAC Update </w:t>
      </w:r>
    </w:p>
    <w:p w14:paraId="187C46FC" w14:textId="0CAF277A" w:rsidR="00967B9E" w:rsidRDefault="00FF0453" w:rsidP="00FF0453">
      <w:pPr>
        <w:spacing w:after="0" w:line="240" w:lineRule="auto"/>
        <w:rPr>
          <w:i/>
          <w:iCs/>
          <w:sz w:val="24"/>
          <w:szCs w:val="24"/>
        </w:rPr>
      </w:pPr>
      <w:r w:rsidRPr="00FF0453">
        <w:rPr>
          <w:i/>
          <w:iCs/>
          <w:sz w:val="24"/>
          <w:szCs w:val="24"/>
        </w:rPr>
        <w:t>Heidi Todacheene, Senior Advisor to the Secretary, Office of the Secretary, DOI</w:t>
      </w:r>
    </w:p>
    <w:p w14:paraId="230A727B" w14:textId="77777777" w:rsidR="008452C1" w:rsidRDefault="008452C1" w:rsidP="00FF0453">
      <w:pPr>
        <w:spacing w:after="0" w:line="240" w:lineRule="auto"/>
        <w:rPr>
          <w:sz w:val="24"/>
          <w:szCs w:val="24"/>
        </w:rPr>
      </w:pPr>
    </w:p>
    <w:p w14:paraId="3F5ECB16" w14:textId="42DE3C5F" w:rsidR="00215C41" w:rsidRDefault="00385035" w:rsidP="00FF0453">
      <w:pPr>
        <w:spacing w:after="0" w:line="240" w:lineRule="auto"/>
        <w:rPr>
          <w:sz w:val="24"/>
          <w:szCs w:val="24"/>
        </w:rPr>
      </w:pPr>
      <w:r>
        <w:rPr>
          <w:sz w:val="24"/>
          <w:szCs w:val="24"/>
        </w:rPr>
        <w:t xml:space="preserve">The most recent </w:t>
      </w:r>
      <w:r w:rsidR="00DB28F3">
        <w:rPr>
          <w:sz w:val="24"/>
          <w:szCs w:val="24"/>
        </w:rPr>
        <w:t xml:space="preserve">two-day </w:t>
      </w:r>
      <w:r>
        <w:rPr>
          <w:sz w:val="24"/>
          <w:szCs w:val="24"/>
        </w:rPr>
        <w:t>DOI STAC meeting was held in May</w:t>
      </w:r>
      <w:r w:rsidR="00C7227B">
        <w:rPr>
          <w:sz w:val="24"/>
          <w:szCs w:val="24"/>
        </w:rPr>
        <w:t xml:space="preserve"> 2023 at the Washington, D.C. office. </w:t>
      </w:r>
      <w:r w:rsidR="00C623A2">
        <w:rPr>
          <w:sz w:val="24"/>
          <w:szCs w:val="24"/>
        </w:rPr>
        <w:t xml:space="preserve">The Secretary, Deputy Secretary, Assistant Secretary, </w:t>
      </w:r>
      <w:r w:rsidR="007B6B4F">
        <w:rPr>
          <w:sz w:val="24"/>
          <w:szCs w:val="24"/>
        </w:rPr>
        <w:t xml:space="preserve">and all Assistant Secretaries </w:t>
      </w:r>
      <w:r w:rsidR="002D686B">
        <w:rPr>
          <w:sz w:val="24"/>
          <w:szCs w:val="24"/>
        </w:rPr>
        <w:t>attended to address the STAC and</w:t>
      </w:r>
      <w:r w:rsidR="007B6B4F">
        <w:rPr>
          <w:sz w:val="24"/>
          <w:szCs w:val="24"/>
        </w:rPr>
        <w:t xml:space="preserve"> answer policy questions.</w:t>
      </w:r>
      <w:r w:rsidR="007A35D2">
        <w:rPr>
          <w:sz w:val="24"/>
          <w:szCs w:val="24"/>
        </w:rPr>
        <w:t xml:space="preserve"> They </w:t>
      </w:r>
      <w:r w:rsidR="002D686B">
        <w:rPr>
          <w:sz w:val="24"/>
          <w:szCs w:val="24"/>
        </w:rPr>
        <w:t>plan</w:t>
      </w:r>
      <w:r w:rsidR="007A35D2">
        <w:rPr>
          <w:sz w:val="24"/>
          <w:szCs w:val="24"/>
        </w:rPr>
        <w:t xml:space="preserve"> to have the next meeting </w:t>
      </w:r>
      <w:r w:rsidR="002D686B">
        <w:rPr>
          <w:sz w:val="24"/>
          <w:szCs w:val="24"/>
        </w:rPr>
        <w:t xml:space="preserve">in conjunction </w:t>
      </w:r>
      <w:r w:rsidR="007A35D2">
        <w:rPr>
          <w:sz w:val="24"/>
          <w:szCs w:val="24"/>
        </w:rPr>
        <w:t xml:space="preserve">with the Tribal Nations Summit. </w:t>
      </w:r>
      <w:r w:rsidR="007B6B4F">
        <w:rPr>
          <w:sz w:val="24"/>
          <w:szCs w:val="24"/>
        </w:rPr>
        <w:t xml:space="preserve"> </w:t>
      </w:r>
    </w:p>
    <w:p w14:paraId="4736C520" w14:textId="77777777" w:rsidR="00D16B97" w:rsidRDefault="00D16B97" w:rsidP="00FF0453">
      <w:pPr>
        <w:spacing w:after="0" w:line="240" w:lineRule="auto"/>
        <w:rPr>
          <w:sz w:val="24"/>
          <w:szCs w:val="24"/>
        </w:rPr>
      </w:pPr>
    </w:p>
    <w:p w14:paraId="63EFFF78" w14:textId="5093E1A4" w:rsidR="00D16B97" w:rsidRDefault="00A1026B" w:rsidP="00FF0453">
      <w:pPr>
        <w:spacing w:after="0" w:line="240" w:lineRule="auto"/>
        <w:rPr>
          <w:sz w:val="24"/>
          <w:szCs w:val="24"/>
        </w:rPr>
      </w:pPr>
      <w:r>
        <w:rPr>
          <w:sz w:val="24"/>
          <w:szCs w:val="24"/>
        </w:rPr>
        <w:lastRenderedPageBreak/>
        <w:t>Half of the twelve</w:t>
      </w:r>
      <w:r w:rsidR="002D686B">
        <w:rPr>
          <w:sz w:val="24"/>
          <w:szCs w:val="24"/>
        </w:rPr>
        <w:t>-</w:t>
      </w:r>
      <w:r>
        <w:rPr>
          <w:sz w:val="24"/>
          <w:szCs w:val="24"/>
        </w:rPr>
        <w:t>member STAC</w:t>
      </w:r>
      <w:r w:rsidR="006A1C29">
        <w:rPr>
          <w:sz w:val="24"/>
          <w:szCs w:val="24"/>
        </w:rPr>
        <w:t>'</w:t>
      </w:r>
      <w:r>
        <w:rPr>
          <w:sz w:val="24"/>
          <w:szCs w:val="24"/>
        </w:rPr>
        <w:t>s</w:t>
      </w:r>
      <w:r w:rsidR="00CB4C9A">
        <w:rPr>
          <w:sz w:val="24"/>
          <w:szCs w:val="24"/>
        </w:rPr>
        <w:t xml:space="preserve"> term limit has recently expired, so </w:t>
      </w:r>
      <w:r w:rsidR="00280170">
        <w:rPr>
          <w:sz w:val="24"/>
          <w:szCs w:val="24"/>
        </w:rPr>
        <w:t>they finalized their call for applications</w:t>
      </w:r>
      <w:r w:rsidR="00E037D8">
        <w:rPr>
          <w:sz w:val="24"/>
          <w:szCs w:val="24"/>
        </w:rPr>
        <w:t xml:space="preserve"> – a turnover of leadership will be announced in </w:t>
      </w:r>
      <w:r w:rsidR="00CF14D7">
        <w:rPr>
          <w:sz w:val="24"/>
          <w:szCs w:val="24"/>
        </w:rPr>
        <w:t xml:space="preserve">September. </w:t>
      </w:r>
    </w:p>
    <w:p w14:paraId="0C4FC16B" w14:textId="77777777" w:rsidR="0067239F" w:rsidRDefault="0067239F" w:rsidP="00FF0453">
      <w:pPr>
        <w:spacing w:after="0" w:line="240" w:lineRule="auto"/>
        <w:rPr>
          <w:sz w:val="24"/>
          <w:szCs w:val="24"/>
        </w:rPr>
      </w:pPr>
    </w:p>
    <w:p w14:paraId="44E6ED7C" w14:textId="261348D6" w:rsidR="0067239F" w:rsidRDefault="00E568C0" w:rsidP="00FF0453">
      <w:pPr>
        <w:spacing w:after="0" w:line="240" w:lineRule="auto"/>
        <w:rPr>
          <w:sz w:val="24"/>
          <w:szCs w:val="24"/>
        </w:rPr>
      </w:pPr>
      <w:r>
        <w:rPr>
          <w:sz w:val="24"/>
          <w:szCs w:val="24"/>
        </w:rPr>
        <w:t xml:space="preserve">The </w:t>
      </w:r>
      <w:r w:rsidR="0067239F">
        <w:rPr>
          <w:sz w:val="24"/>
          <w:szCs w:val="24"/>
        </w:rPr>
        <w:t>STAC</w:t>
      </w:r>
      <w:r w:rsidR="006A1C29">
        <w:rPr>
          <w:sz w:val="24"/>
          <w:szCs w:val="24"/>
        </w:rPr>
        <w:t>'</w:t>
      </w:r>
      <w:r>
        <w:rPr>
          <w:sz w:val="24"/>
          <w:szCs w:val="24"/>
        </w:rPr>
        <w:t xml:space="preserve">s </w:t>
      </w:r>
      <w:r w:rsidR="002D686B">
        <w:rPr>
          <w:sz w:val="24"/>
          <w:szCs w:val="24"/>
        </w:rPr>
        <w:t>primary</w:t>
      </w:r>
      <w:r>
        <w:rPr>
          <w:sz w:val="24"/>
          <w:szCs w:val="24"/>
        </w:rPr>
        <w:t xml:space="preserve"> focus</w:t>
      </w:r>
      <w:r w:rsidR="0067239F">
        <w:rPr>
          <w:sz w:val="24"/>
          <w:szCs w:val="24"/>
        </w:rPr>
        <w:t xml:space="preserve"> has been </w:t>
      </w:r>
      <w:r w:rsidR="005269AD">
        <w:rPr>
          <w:sz w:val="24"/>
          <w:szCs w:val="24"/>
        </w:rPr>
        <w:t>on the Secretary</w:t>
      </w:r>
      <w:r w:rsidR="006A1C29">
        <w:rPr>
          <w:sz w:val="24"/>
          <w:szCs w:val="24"/>
        </w:rPr>
        <w:t>'</w:t>
      </w:r>
      <w:r w:rsidR="005269AD">
        <w:rPr>
          <w:sz w:val="24"/>
          <w:szCs w:val="24"/>
        </w:rPr>
        <w:t xml:space="preserve">s Tribal Advisory Committee Policy Recommendations. </w:t>
      </w:r>
      <w:r w:rsidR="00BC2723">
        <w:rPr>
          <w:sz w:val="24"/>
          <w:szCs w:val="24"/>
        </w:rPr>
        <w:t xml:space="preserve">The policy recommendations </w:t>
      </w:r>
      <w:r w:rsidR="00206659">
        <w:rPr>
          <w:sz w:val="24"/>
          <w:szCs w:val="24"/>
        </w:rPr>
        <w:t>are</w:t>
      </w:r>
      <w:r w:rsidR="00BC2723">
        <w:rPr>
          <w:sz w:val="24"/>
          <w:szCs w:val="24"/>
        </w:rPr>
        <w:t xml:space="preserve"> a 66</w:t>
      </w:r>
      <w:r w:rsidR="00206659">
        <w:rPr>
          <w:sz w:val="24"/>
          <w:szCs w:val="24"/>
        </w:rPr>
        <w:t>-</w:t>
      </w:r>
      <w:r w:rsidR="00BC2723">
        <w:rPr>
          <w:sz w:val="24"/>
          <w:szCs w:val="24"/>
        </w:rPr>
        <w:t>page document developed and voted on by the STAC.</w:t>
      </w:r>
      <w:r w:rsidR="00474025">
        <w:rPr>
          <w:sz w:val="24"/>
          <w:szCs w:val="24"/>
        </w:rPr>
        <w:t xml:space="preserve"> </w:t>
      </w:r>
    </w:p>
    <w:p w14:paraId="00095947" w14:textId="77777777" w:rsidR="00C12214" w:rsidRDefault="00C12214" w:rsidP="00FF0453">
      <w:pPr>
        <w:spacing w:after="0" w:line="240" w:lineRule="auto"/>
        <w:rPr>
          <w:i/>
          <w:iCs/>
          <w:sz w:val="24"/>
          <w:szCs w:val="24"/>
        </w:rPr>
      </w:pPr>
    </w:p>
    <w:p w14:paraId="710A8395" w14:textId="4411BF78" w:rsidR="00B879BF" w:rsidRDefault="00545BE7" w:rsidP="00C12214">
      <w:pPr>
        <w:spacing w:after="0" w:line="240" w:lineRule="auto"/>
        <w:rPr>
          <w:b/>
          <w:bCs/>
          <w:sz w:val="24"/>
          <w:szCs w:val="24"/>
          <w:u w:val="single"/>
        </w:rPr>
      </w:pPr>
      <w:r w:rsidRPr="006F6029">
        <w:rPr>
          <w:b/>
          <w:bCs/>
          <w:sz w:val="24"/>
          <w:szCs w:val="24"/>
          <w:u w:val="single"/>
        </w:rPr>
        <w:t>Understanding the Current CSC Distribution Process</w:t>
      </w:r>
      <w:r w:rsidR="006F6029" w:rsidRPr="006F6029">
        <w:rPr>
          <w:b/>
          <w:bCs/>
          <w:sz w:val="24"/>
          <w:szCs w:val="24"/>
          <w:u w:val="single"/>
        </w:rPr>
        <w:t xml:space="preserve"> for Tribal Nations with Self-Governance Agreements</w:t>
      </w:r>
    </w:p>
    <w:p w14:paraId="16BB422C" w14:textId="6113361E" w:rsidR="006F6029" w:rsidRPr="00071BB5" w:rsidRDefault="006F6029" w:rsidP="00C12214">
      <w:pPr>
        <w:spacing w:after="0" w:line="240" w:lineRule="auto"/>
        <w:rPr>
          <w:i/>
          <w:iCs/>
          <w:sz w:val="24"/>
          <w:szCs w:val="24"/>
        </w:rPr>
      </w:pPr>
      <w:r w:rsidRPr="00071BB5">
        <w:rPr>
          <w:i/>
          <w:iCs/>
          <w:sz w:val="24"/>
          <w:szCs w:val="24"/>
        </w:rPr>
        <w:t>Sharee Freeman, Director, OSG, DOI</w:t>
      </w:r>
    </w:p>
    <w:p w14:paraId="376AA073" w14:textId="0C5DE5EA" w:rsidR="006F6029" w:rsidRDefault="006F6029" w:rsidP="00C12214">
      <w:pPr>
        <w:spacing w:after="0" w:line="240" w:lineRule="auto"/>
        <w:rPr>
          <w:i/>
          <w:iCs/>
          <w:sz w:val="24"/>
          <w:szCs w:val="24"/>
        </w:rPr>
      </w:pPr>
      <w:r w:rsidRPr="00071BB5">
        <w:rPr>
          <w:i/>
          <w:iCs/>
          <w:sz w:val="24"/>
          <w:szCs w:val="24"/>
        </w:rPr>
        <w:t>Vick</w:t>
      </w:r>
      <w:r w:rsidR="00F06AFB">
        <w:rPr>
          <w:i/>
          <w:iCs/>
          <w:sz w:val="24"/>
          <w:szCs w:val="24"/>
        </w:rPr>
        <w:t>ie</w:t>
      </w:r>
      <w:r w:rsidRPr="00071BB5">
        <w:rPr>
          <w:i/>
          <w:iCs/>
          <w:sz w:val="24"/>
          <w:szCs w:val="24"/>
        </w:rPr>
        <w:t xml:space="preserve"> Hanvey, OSG, DOI</w:t>
      </w:r>
    </w:p>
    <w:p w14:paraId="2F1C5275" w14:textId="77777777" w:rsidR="006F057A" w:rsidRDefault="006F057A" w:rsidP="00C12214">
      <w:pPr>
        <w:spacing w:after="0" w:line="240" w:lineRule="auto"/>
        <w:rPr>
          <w:i/>
          <w:iCs/>
          <w:sz w:val="24"/>
          <w:szCs w:val="24"/>
        </w:rPr>
      </w:pPr>
    </w:p>
    <w:p w14:paraId="0B75FDA5" w14:textId="56D1CB66" w:rsidR="006F057A" w:rsidRPr="009E2E7D" w:rsidRDefault="009E2E7D" w:rsidP="00C12214">
      <w:pPr>
        <w:spacing w:after="0" w:line="240" w:lineRule="auto"/>
        <w:rPr>
          <w:b/>
          <w:bCs/>
          <w:sz w:val="24"/>
          <w:szCs w:val="24"/>
        </w:rPr>
      </w:pPr>
      <w:r w:rsidRPr="009E2E7D">
        <w:rPr>
          <w:b/>
          <w:bCs/>
          <w:sz w:val="24"/>
          <w:szCs w:val="24"/>
        </w:rPr>
        <w:t xml:space="preserve">Sharee Freeman </w:t>
      </w:r>
    </w:p>
    <w:p w14:paraId="23CBA2B6" w14:textId="77777777" w:rsidR="009E2E7D" w:rsidRDefault="009E2E7D" w:rsidP="00C12214">
      <w:pPr>
        <w:spacing w:after="0" w:line="240" w:lineRule="auto"/>
        <w:rPr>
          <w:sz w:val="24"/>
          <w:szCs w:val="24"/>
        </w:rPr>
      </w:pPr>
    </w:p>
    <w:p w14:paraId="7719AC1E" w14:textId="59434689" w:rsidR="005753C2" w:rsidRDefault="00642326" w:rsidP="00C12214">
      <w:pPr>
        <w:spacing w:after="0" w:line="240" w:lineRule="auto"/>
        <w:rPr>
          <w:sz w:val="24"/>
          <w:szCs w:val="24"/>
        </w:rPr>
      </w:pPr>
      <w:r>
        <w:rPr>
          <w:sz w:val="24"/>
          <w:szCs w:val="24"/>
        </w:rPr>
        <w:t xml:space="preserve">Director Freeman began the discussion by clarifying some earlier comments. </w:t>
      </w:r>
      <w:r w:rsidR="00A26180">
        <w:rPr>
          <w:sz w:val="24"/>
          <w:szCs w:val="24"/>
        </w:rPr>
        <w:t xml:space="preserve">When she was talking about </w:t>
      </w:r>
      <w:r w:rsidR="00BC78A2">
        <w:rPr>
          <w:sz w:val="24"/>
          <w:szCs w:val="24"/>
        </w:rPr>
        <w:t xml:space="preserve">the 80/20 process of CSC, she was referring to the calculation of CSC.  OSG calculates CSC at the beginning of the </w:t>
      </w:r>
      <w:r w:rsidR="00270A32">
        <w:rPr>
          <w:sz w:val="24"/>
          <w:szCs w:val="24"/>
        </w:rPr>
        <w:t xml:space="preserve">year at 80% of the previous year’s actual CSC, then an adjustment at the end of year based upon tribal </w:t>
      </w:r>
      <w:proofErr w:type="gramStart"/>
      <w:r w:rsidR="00270A32">
        <w:rPr>
          <w:sz w:val="24"/>
          <w:szCs w:val="24"/>
        </w:rPr>
        <w:t>data.</w:t>
      </w:r>
      <w:r w:rsidR="00BC78A2">
        <w:rPr>
          <w:sz w:val="24"/>
          <w:szCs w:val="24"/>
        </w:rPr>
        <w:t xml:space="preserve"> </w:t>
      </w:r>
      <w:r w:rsidR="001607C5">
        <w:rPr>
          <w:sz w:val="24"/>
          <w:szCs w:val="24"/>
        </w:rPr>
        <w:t xml:space="preserve"> </w:t>
      </w:r>
      <w:r w:rsidR="00D63DF2">
        <w:rPr>
          <w:sz w:val="24"/>
          <w:szCs w:val="24"/>
        </w:rPr>
        <w:t>.</w:t>
      </w:r>
      <w:proofErr w:type="gramEnd"/>
      <w:r w:rsidR="00D63DF2">
        <w:rPr>
          <w:sz w:val="24"/>
          <w:szCs w:val="24"/>
        </w:rPr>
        <w:t xml:space="preserve"> </w:t>
      </w:r>
      <w:r w:rsidR="0032698F">
        <w:rPr>
          <w:sz w:val="24"/>
          <w:szCs w:val="24"/>
        </w:rPr>
        <w:t xml:space="preserve">She did not mean that </w:t>
      </w:r>
      <w:r w:rsidR="00270A32">
        <w:rPr>
          <w:sz w:val="24"/>
          <w:szCs w:val="24"/>
        </w:rPr>
        <w:t>OSG is</w:t>
      </w:r>
      <w:r w:rsidR="0032698F">
        <w:rPr>
          <w:sz w:val="24"/>
          <w:szCs w:val="24"/>
        </w:rPr>
        <w:t xml:space="preserve"> paying out 80% at the beginning of the year</w:t>
      </w:r>
      <w:r w:rsidR="00F06AFB">
        <w:rPr>
          <w:sz w:val="24"/>
          <w:szCs w:val="24"/>
        </w:rPr>
        <w:t xml:space="preserve"> regardless of CRs</w:t>
      </w:r>
      <w:r w:rsidR="0032698F">
        <w:rPr>
          <w:sz w:val="24"/>
          <w:szCs w:val="24"/>
        </w:rPr>
        <w:t>.</w:t>
      </w:r>
      <w:r w:rsidR="00270A32">
        <w:rPr>
          <w:sz w:val="24"/>
          <w:szCs w:val="24"/>
        </w:rPr>
        <w:t xml:space="preserve">  Regions and OSG release payments based upon funds received from OIS, which receives the </w:t>
      </w:r>
      <w:r w:rsidR="0033223D">
        <w:rPr>
          <w:sz w:val="24"/>
          <w:szCs w:val="24"/>
        </w:rPr>
        <w:t>allotment from Treasury</w:t>
      </w:r>
      <w:r w:rsidR="00270A32">
        <w:rPr>
          <w:sz w:val="24"/>
          <w:szCs w:val="24"/>
        </w:rPr>
        <w:t>.</w:t>
      </w:r>
      <w:r w:rsidR="0032698F">
        <w:rPr>
          <w:sz w:val="24"/>
          <w:szCs w:val="24"/>
        </w:rPr>
        <w:t xml:space="preserve"> </w:t>
      </w:r>
      <w:r w:rsidR="0033223D">
        <w:rPr>
          <w:sz w:val="24"/>
          <w:szCs w:val="24"/>
        </w:rPr>
        <w:t xml:space="preserve"> </w:t>
      </w:r>
      <w:r w:rsidR="00B97777">
        <w:rPr>
          <w:sz w:val="24"/>
          <w:szCs w:val="24"/>
        </w:rPr>
        <w:t xml:space="preserve">The funds do not always come </w:t>
      </w:r>
      <w:r w:rsidR="0033223D">
        <w:rPr>
          <w:sz w:val="24"/>
          <w:szCs w:val="24"/>
        </w:rPr>
        <w:t xml:space="preserve">to OSG and Regions </w:t>
      </w:r>
      <w:r w:rsidR="00B97777">
        <w:rPr>
          <w:sz w:val="24"/>
          <w:szCs w:val="24"/>
        </w:rPr>
        <w:t xml:space="preserve">immediately after enactment. </w:t>
      </w:r>
    </w:p>
    <w:p w14:paraId="7171332A" w14:textId="77777777" w:rsidR="00F1583B" w:rsidRDefault="00F1583B" w:rsidP="00C12214">
      <w:pPr>
        <w:spacing w:after="0" w:line="240" w:lineRule="auto"/>
        <w:rPr>
          <w:sz w:val="24"/>
          <w:szCs w:val="24"/>
        </w:rPr>
      </w:pPr>
    </w:p>
    <w:p w14:paraId="58E6A57E" w14:textId="04F5E68A" w:rsidR="00134986" w:rsidRDefault="00134986" w:rsidP="00C12214">
      <w:pPr>
        <w:spacing w:after="0" w:line="240" w:lineRule="auto"/>
        <w:rPr>
          <w:b/>
          <w:bCs/>
          <w:sz w:val="24"/>
          <w:szCs w:val="24"/>
        </w:rPr>
      </w:pPr>
      <w:r w:rsidRPr="00134986">
        <w:rPr>
          <w:b/>
          <w:bCs/>
          <w:sz w:val="24"/>
          <w:szCs w:val="24"/>
        </w:rPr>
        <w:t>Vick</w:t>
      </w:r>
      <w:r w:rsidR="00453AE2">
        <w:rPr>
          <w:b/>
          <w:bCs/>
          <w:sz w:val="24"/>
          <w:szCs w:val="24"/>
        </w:rPr>
        <w:t>ie</w:t>
      </w:r>
      <w:r w:rsidRPr="00134986">
        <w:rPr>
          <w:b/>
          <w:bCs/>
          <w:sz w:val="24"/>
          <w:szCs w:val="24"/>
        </w:rPr>
        <w:t xml:space="preserve"> Hanvey </w:t>
      </w:r>
    </w:p>
    <w:p w14:paraId="7925BF8B" w14:textId="77777777" w:rsidR="00F1583B" w:rsidRDefault="00F1583B" w:rsidP="00C12214">
      <w:pPr>
        <w:spacing w:after="0" w:line="240" w:lineRule="auto"/>
        <w:rPr>
          <w:b/>
          <w:bCs/>
          <w:sz w:val="24"/>
          <w:szCs w:val="24"/>
        </w:rPr>
      </w:pPr>
    </w:p>
    <w:p w14:paraId="7902C62F" w14:textId="74E42ECB" w:rsidR="00F1583B" w:rsidRDefault="00F1583B" w:rsidP="00C12214">
      <w:pPr>
        <w:spacing w:after="0" w:line="240" w:lineRule="auto"/>
        <w:rPr>
          <w:sz w:val="24"/>
          <w:szCs w:val="24"/>
        </w:rPr>
      </w:pPr>
      <w:r w:rsidRPr="00167564">
        <w:rPr>
          <w:sz w:val="24"/>
          <w:szCs w:val="24"/>
        </w:rPr>
        <w:t>Hanvey presented a</w:t>
      </w:r>
      <w:r w:rsidR="00167564" w:rsidRPr="00167564">
        <w:rPr>
          <w:sz w:val="24"/>
          <w:szCs w:val="24"/>
        </w:rPr>
        <w:t xml:space="preserve"> spreadsheet showing hypothetical Tribes</w:t>
      </w:r>
      <w:r w:rsidR="00CE0EC6">
        <w:rPr>
          <w:sz w:val="24"/>
          <w:szCs w:val="24"/>
        </w:rPr>
        <w:t xml:space="preserve"> (Tribe A and Tribe </w:t>
      </w:r>
      <w:proofErr w:type="gramStart"/>
      <w:r w:rsidR="00CE0EC6">
        <w:rPr>
          <w:sz w:val="24"/>
          <w:szCs w:val="24"/>
        </w:rPr>
        <w:t>B)</w:t>
      </w:r>
      <w:r w:rsidR="00167564" w:rsidRPr="00167564">
        <w:rPr>
          <w:sz w:val="24"/>
          <w:szCs w:val="24"/>
        </w:rPr>
        <w:t xml:space="preserve">  to</w:t>
      </w:r>
      <w:proofErr w:type="gramEnd"/>
      <w:r w:rsidR="00167564" w:rsidRPr="00167564">
        <w:rPr>
          <w:sz w:val="24"/>
          <w:szCs w:val="24"/>
        </w:rPr>
        <w:t xml:space="preserve"> attempt to exhibit the process.</w:t>
      </w:r>
      <w:r w:rsidRPr="00167564">
        <w:rPr>
          <w:sz w:val="24"/>
          <w:szCs w:val="24"/>
        </w:rPr>
        <w:t xml:space="preserve"> </w:t>
      </w:r>
      <w:r w:rsidR="008C6D49">
        <w:rPr>
          <w:sz w:val="24"/>
          <w:szCs w:val="24"/>
        </w:rPr>
        <w:t>C</w:t>
      </w:r>
      <w:r w:rsidR="00B91C33">
        <w:rPr>
          <w:sz w:val="24"/>
          <w:szCs w:val="24"/>
        </w:rPr>
        <w:t>ontinuing resolutions</w:t>
      </w:r>
      <w:r w:rsidR="008C6D49">
        <w:rPr>
          <w:sz w:val="24"/>
          <w:szCs w:val="24"/>
        </w:rPr>
        <w:t xml:space="preserve"> are prorated </w:t>
      </w:r>
      <w:r w:rsidR="004B7DE1">
        <w:rPr>
          <w:sz w:val="24"/>
          <w:szCs w:val="24"/>
        </w:rPr>
        <w:t xml:space="preserve">when they come through based on the amount of money the regions and OSG receive. </w:t>
      </w:r>
      <w:r w:rsidR="00DE41F9">
        <w:rPr>
          <w:sz w:val="24"/>
          <w:szCs w:val="24"/>
        </w:rPr>
        <w:t>Then</w:t>
      </w:r>
      <w:r w:rsidR="004B0EB9">
        <w:rPr>
          <w:sz w:val="24"/>
          <w:szCs w:val="24"/>
        </w:rPr>
        <w:t>,</w:t>
      </w:r>
      <w:r w:rsidR="00DE41F9">
        <w:rPr>
          <w:sz w:val="24"/>
          <w:szCs w:val="24"/>
        </w:rPr>
        <w:t xml:space="preserve"> after the enactment occurs, they pay the balance so that the payment </w:t>
      </w:r>
      <w:r w:rsidR="00335458">
        <w:rPr>
          <w:sz w:val="24"/>
          <w:szCs w:val="24"/>
        </w:rPr>
        <w:t xml:space="preserve">of 80% to a Tribe </w:t>
      </w:r>
      <w:r w:rsidR="005E4229">
        <w:rPr>
          <w:sz w:val="24"/>
          <w:szCs w:val="24"/>
        </w:rPr>
        <w:t xml:space="preserve">is made early in the year. At the end of the year, the Tribes submit their </w:t>
      </w:r>
      <w:r w:rsidR="00B91C33">
        <w:rPr>
          <w:sz w:val="24"/>
          <w:szCs w:val="24"/>
        </w:rPr>
        <w:t>data,</w:t>
      </w:r>
      <w:r w:rsidR="005E4229">
        <w:rPr>
          <w:sz w:val="24"/>
          <w:szCs w:val="24"/>
        </w:rPr>
        <w:t xml:space="preserve"> </w:t>
      </w:r>
      <w:r w:rsidR="00B91C33">
        <w:rPr>
          <w:sz w:val="24"/>
          <w:szCs w:val="24"/>
        </w:rPr>
        <w:t xml:space="preserve">and then they receive 100% allocation. </w:t>
      </w:r>
    </w:p>
    <w:p w14:paraId="0E3F1B8E" w14:textId="77777777" w:rsidR="00673766" w:rsidRDefault="00673766" w:rsidP="00C12214">
      <w:pPr>
        <w:spacing w:after="0" w:line="240" w:lineRule="auto"/>
        <w:rPr>
          <w:sz w:val="24"/>
          <w:szCs w:val="24"/>
        </w:rPr>
      </w:pPr>
    </w:p>
    <w:p w14:paraId="7082F2AF" w14:textId="3BAD718A" w:rsidR="00673766" w:rsidRDefault="00F77DF2" w:rsidP="00C12214">
      <w:pPr>
        <w:spacing w:after="0" w:line="240" w:lineRule="auto"/>
        <w:rPr>
          <w:sz w:val="24"/>
          <w:szCs w:val="24"/>
        </w:rPr>
      </w:pPr>
      <w:r>
        <w:rPr>
          <w:sz w:val="24"/>
          <w:szCs w:val="24"/>
        </w:rPr>
        <w:t xml:space="preserve">Hanvey then </w:t>
      </w:r>
      <w:r w:rsidR="004B0EB9">
        <w:rPr>
          <w:sz w:val="24"/>
          <w:szCs w:val="24"/>
        </w:rPr>
        <w:t>explained</w:t>
      </w:r>
      <w:r>
        <w:rPr>
          <w:sz w:val="24"/>
          <w:szCs w:val="24"/>
        </w:rPr>
        <w:t xml:space="preserve"> how an exception apportionment works and </w:t>
      </w:r>
      <w:r w:rsidR="00BD7A95">
        <w:rPr>
          <w:sz w:val="24"/>
          <w:szCs w:val="24"/>
        </w:rPr>
        <w:t xml:space="preserve">how the funds are allocated between the regions and OSG. </w:t>
      </w:r>
      <w:r w:rsidR="0033223D">
        <w:rPr>
          <w:sz w:val="24"/>
          <w:szCs w:val="24"/>
        </w:rPr>
        <w:t xml:space="preserve"> </w:t>
      </w:r>
      <w:r w:rsidR="004B0EB9">
        <w:rPr>
          <w:sz w:val="24"/>
          <w:szCs w:val="24"/>
        </w:rPr>
        <w:t>Based on last year's consumable amount, the OIS pro rates the CR funds among all the regions and OSG</w:t>
      </w:r>
      <w:r w:rsidR="002E5338">
        <w:rPr>
          <w:sz w:val="24"/>
          <w:szCs w:val="24"/>
        </w:rPr>
        <w:t xml:space="preserve">. </w:t>
      </w:r>
      <w:r w:rsidR="00A60982">
        <w:rPr>
          <w:sz w:val="24"/>
          <w:szCs w:val="24"/>
        </w:rPr>
        <w:t xml:space="preserve">They do the same thing for each CR and the enacted amount when it comes in. </w:t>
      </w:r>
      <w:r w:rsidR="0033223D">
        <w:rPr>
          <w:sz w:val="24"/>
          <w:szCs w:val="24"/>
        </w:rPr>
        <w:t xml:space="preserve"> In FY2022, OSG was putting out 47.48% of total CSC.  In FY2023, OSG processed more CSC payments than all Regions combined or 53.73%.  </w:t>
      </w:r>
    </w:p>
    <w:p w14:paraId="00A0C2E1" w14:textId="77777777" w:rsidR="00453AE2" w:rsidRDefault="00453AE2" w:rsidP="00C12214">
      <w:pPr>
        <w:spacing w:after="0" w:line="240" w:lineRule="auto"/>
        <w:rPr>
          <w:sz w:val="24"/>
          <w:szCs w:val="24"/>
        </w:rPr>
      </w:pPr>
    </w:p>
    <w:p w14:paraId="43A06215" w14:textId="58B4854A" w:rsidR="00453AE2" w:rsidRPr="00167564" w:rsidRDefault="00453AE2" w:rsidP="00C12214">
      <w:pPr>
        <w:spacing w:after="0" w:line="240" w:lineRule="auto"/>
        <w:rPr>
          <w:sz w:val="24"/>
          <w:szCs w:val="24"/>
        </w:rPr>
      </w:pPr>
      <w:r>
        <w:rPr>
          <w:sz w:val="24"/>
          <w:szCs w:val="24"/>
        </w:rPr>
        <w:t>FY2023</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FY2022</w:t>
      </w:r>
    </w:p>
    <w:p w14:paraId="52500FCB" w14:textId="2F933E0C" w:rsidR="00EE1635" w:rsidRDefault="00453AE2" w:rsidP="000152EE">
      <w:pPr>
        <w:spacing w:after="0" w:line="240" w:lineRule="auto"/>
        <w:rPr>
          <w:b/>
          <w:bCs/>
          <w:sz w:val="24"/>
          <w:szCs w:val="24"/>
          <w:u w:val="single"/>
        </w:rPr>
      </w:pPr>
      <w:r w:rsidRPr="00453AE2">
        <w:rPr>
          <w:noProof/>
        </w:rPr>
        <w:drawing>
          <wp:inline distT="0" distB="0" distL="0" distR="0" wp14:anchorId="57AD5FC5" wp14:editId="06414FBF">
            <wp:extent cx="2842260" cy="601980"/>
            <wp:effectExtent l="0" t="0" r="0" b="7620"/>
            <wp:docPr id="290667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601980"/>
                    </a:xfrm>
                    <a:prstGeom prst="rect">
                      <a:avLst/>
                    </a:prstGeom>
                    <a:noFill/>
                    <a:ln>
                      <a:noFill/>
                    </a:ln>
                  </pic:spPr>
                </pic:pic>
              </a:graphicData>
            </a:graphic>
          </wp:inline>
        </w:drawing>
      </w:r>
      <w:r>
        <w:rPr>
          <w:b/>
          <w:bCs/>
          <w:sz w:val="24"/>
          <w:szCs w:val="24"/>
          <w:u w:val="single"/>
        </w:rPr>
        <w:t xml:space="preserve">   </w:t>
      </w:r>
      <w:r w:rsidRPr="00453AE2">
        <w:rPr>
          <w:noProof/>
        </w:rPr>
        <w:drawing>
          <wp:inline distT="0" distB="0" distL="0" distR="0" wp14:anchorId="1756C260" wp14:editId="18BED8C4">
            <wp:extent cx="2971800" cy="601980"/>
            <wp:effectExtent l="0" t="0" r="0" b="7620"/>
            <wp:docPr id="17138714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601980"/>
                    </a:xfrm>
                    <a:prstGeom prst="rect">
                      <a:avLst/>
                    </a:prstGeom>
                    <a:noFill/>
                    <a:ln>
                      <a:noFill/>
                    </a:ln>
                  </pic:spPr>
                </pic:pic>
              </a:graphicData>
            </a:graphic>
          </wp:inline>
        </w:drawing>
      </w:r>
    </w:p>
    <w:p w14:paraId="12B961A9" w14:textId="77777777" w:rsidR="00C44B49" w:rsidRDefault="00C44B49" w:rsidP="00C44B49">
      <w:pPr>
        <w:spacing w:after="0" w:line="240" w:lineRule="auto"/>
        <w:rPr>
          <w:sz w:val="24"/>
          <w:szCs w:val="24"/>
        </w:rPr>
      </w:pPr>
      <w:r>
        <w:rPr>
          <w:sz w:val="24"/>
          <w:szCs w:val="24"/>
        </w:rPr>
        <w:t>OSG has only one Approving Official, which is Sharee.  Chairman Allen said it was discussed at TIBC that a request for over 30 Approving Officials to be trained for the Regions.  Are any of those for OSG?  Sharee responded, not to her knowledge.</w:t>
      </w:r>
    </w:p>
    <w:p w14:paraId="6CE450FB" w14:textId="27120D3E" w:rsidR="00C44B49" w:rsidRDefault="00C44B49" w:rsidP="00C44B49">
      <w:pPr>
        <w:spacing w:after="0" w:line="240" w:lineRule="auto"/>
        <w:rPr>
          <w:sz w:val="24"/>
          <w:szCs w:val="24"/>
        </w:rPr>
      </w:pPr>
      <w:r>
        <w:rPr>
          <w:sz w:val="24"/>
          <w:szCs w:val="24"/>
        </w:rPr>
        <w:lastRenderedPageBreak/>
        <w:t xml:space="preserve">Chairman Allen asked what if something were to happen to Sharee?  Sharee stated that in the past she </w:t>
      </w:r>
      <w:proofErr w:type="gramStart"/>
      <w:r>
        <w:rPr>
          <w:sz w:val="24"/>
          <w:szCs w:val="24"/>
        </w:rPr>
        <w:t>has</w:t>
      </w:r>
      <w:proofErr w:type="gramEnd"/>
      <w:r>
        <w:rPr>
          <w:sz w:val="24"/>
          <w:szCs w:val="24"/>
        </w:rPr>
        <w:t xml:space="preserve"> had to rely upon another individual outside of OSG.</w:t>
      </w:r>
    </w:p>
    <w:p w14:paraId="4FDA1FBD" w14:textId="77777777" w:rsidR="00C44B49" w:rsidRDefault="00C44B49" w:rsidP="000152EE">
      <w:pPr>
        <w:spacing w:after="0" w:line="240" w:lineRule="auto"/>
        <w:rPr>
          <w:b/>
          <w:bCs/>
          <w:sz w:val="24"/>
          <w:szCs w:val="24"/>
          <w:u w:val="single"/>
        </w:rPr>
      </w:pPr>
    </w:p>
    <w:p w14:paraId="7492F284" w14:textId="77777777" w:rsidR="001018CD" w:rsidRDefault="001018CD" w:rsidP="00C60025">
      <w:pPr>
        <w:spacing w:after="0" w:line="240" w:lineRule="auto"/>
        <w:rPr>
          <w:b/>
          <w:bCs/>
          <w:sz w:val="24"/>
          <w:szCs w:val="24"/>
          <w:u w:val="single"/>
        </w:rPr>
      </w:pPr>
      <w:r w:rsidRPr="001018CD">
        <w:rPr>
          <w:b/>
          <w:bCs/>
          <w:sz w:val="24"/>
          <w:szCs w:val="24"/>
          <w:u w:val="single"/>
        </w:rPr>
        <w:t xml:space="preserve">CSC Discussion </w:t>
      </w:r>
    </w:p>
    <w:p w14:paraId="625FD540" w14:textId="1850F350" w:rsidR="001018CD" w:rsidRPr="001018CD" w:rsidRDefault="001018CD" w:rsidP="00C60025">
      <w:pPr>
        <w:spacing w:after="0" w:line="240" w:lineRule="auto"/>
        <w:rPr>
          <w:b/>
          <w:bCs/>
          <w:sz w:val="24"/>
          <w:szCs w:val="24"/>
          <w:u w:val="single"/>
        </w:rPr>
      </w:pPr>
      <w:r w:rsidRPr="001018CD">
        <w:rPr>
          <w:i/>
          <w:iCs/>
          <w:sz w:val="24"/>
          <w:szCs w:val="24"/>
        </w:rPr>
        <w:t xml:space="preserve">Johnna Blackhair, Acting Deputy Director, BIA </w:t>
      </w:r>
    </w:p>
    <w:p w14:paraId="1184D34B" w14:textId="6C84E7BF" w:rsidR="001018CD" w:rsidRPr="001018CD" w:rsidRDefault="001018CD" w:rsidP="001018CD">
      <w:pPr>
        <w:spacing w:after="0" w:line="240" w:lineRule="auto"/>
        <w:rPr>
          <w:b/>
          <w:bCs/>
          <w:sz w:val="24"/>
          <w:szCs w:val="24"/>
        </w:rPr>
      </w:pPr>
      <w:r w:rsidRPr="001018CD">
        <w:rPr>
          <w:i/>
          <w:iCs/>
          <w:sz w:val="24"/>
          <w:szCs w:val="24"/>
        </w:rPr>
        <w:t xml:space="preserve">Sunshine Jordan, Acting Division Chief, Office of Indian Services, BIA  </w:t>
      </w:r>
    </w:p>
    <w:p w14:paraId="2FAA8BF6" w14:textId="3A5580AF" w:rsidR="001018CD" w:rsidRDefault="001018CD" w:rsidP="001018CD">
      <w:pPr>
        <w:spacing w:after="0" w:line="240" w:lineRule="auto"/>
        <w:rPr>
          <w:i/>
          <w:iCs/>
          <w:sz w:val="24"/>
          <w:szCs w:val="24"/>
        </w:rPr>
      </w:pPr>
      <w:r w:rsidRPr="001018CD">
        <w:rPr>
          <w:i/>
          <w:iCs/>
          <w:sz w:val="24"/>
          <w:szCs w:val="24"/>
        </w:rPr>
        <w:t xml:space="preserve">Linda Austin, Chief Operations Officer, Ysleta Del Sur Pueblo </w:t>
      </w:r>
    </w:p>
    <w:p w14:paraId="292A729C" w14:textId="77777777" w:rsidR="00E87AA5" w:rsidRDefault="00E87AA5" w:rsidP="001018CD">
      <w:pPr>
        <w:spacing w:after="0" w:line="240" w:lineRule="auto"/>
        <w:rPr>
          <w:i/>
          <w:iCs/>
          <w:sz w:val="24"/>
          <w:szCs w:val="24"/>
        </w:rPr>
      </w:pPr>
    </w:p>
    <w:p w14:paraId="0B4C8AD4" w14:textId="27E4508D" w:rsidR="00E87AA5" w:rsidRDefault="00E87AA5" w:rsidP="001018CD">
      <w:pPr>
        <w:spacing w:after="0" w:line="240" w:lineRule="auto"/>
        <w:rPr>
          <w:sz w:val="24"/>
          <w:szCs w:val="24"/>
        </w:rPr>
      </w:pPr>
      <w:r>
        <w:rPr>
          <w:sz w:val="24"/>
          <w:szCs w:val="24"/>
        </w:rPr>
        <w:t xml:space="preserve">Since being detailed to Indian Services, Acting Deputy Director Blackhair has been </w:t>
      </w:r>
      <w:r w:rsidR="00E02076">
        <w:rPr>
          <w:sz w:val="24"/>
          <w:szCs w:val="24"/>
        </w:rPr>
        <w:t>working to automate the ISDEAA</w:t>
      </w:r>
      <w:r>
        <w:rPr>
          <w:sz w:val="24"/>
          <w:szCs w:val="24"/>
        </w:rPr>
        <w:t xml:space="preserve"> and the 477 process to manage the fiduciary relationship more effectively. </w:t>
      </w:r>
    </w:p>
    <w:p w14:paraId="2DC8D766" w14:textId="77777777" w:rsidR="00A405DE" w:rsidRDefault="00A405DE" w:rsidP="001018CD">
      <w:pPr>
        <w:spacing w:after="0" w:line="240" w:lineRule="auto"/>
        <w:rPr>
          <w:sz w:val="24"/>
          <w:szCs w:val="24"/>
        </w:rPr>
      </w:pPr>
    </w:p>
    <w:p w14:paraId="69403975" w14:textId="31565269" w:rsidR="00A405DE" w:rsidRDefault="00A405DE" w:rsidP="001018CD">
      <w:pPr>
        <w:spacing w:after="0" w:line="240" w:lineRule="auto"/>
        <w:rPr>
          <w:sz w:val="24"/>
          <w:szCs w:val="24"/>
        </w:rPr>
      </w:pPr>
      <w:r>
        <w:rPr>
          <w:sz w:val="24"/>
          <w:szCs w:val="24"/>
        </w:rPr>
        <w:t>COO Austin provided an update regarding the CSC Workgroup. The workgroup has been somewhat inactive over the past few years because of COVID. However, the workgroup is increasing activity and showing a renewed desire to progress with the work. The workgroup conven</w:t>
      </w:r>
      <w:r w:rsidR="00C44B49">
        <w:rPr>
          <w:sz w:val="24"/>
          <w:szCs w:val="24"/>
        </w:rPr>
        <w:t>ed</w:t>
      </w:r>
      <w:r>
        <w:rPr>
          <w:sz w:val="24"/>
          <w:szCs w:val="24"/>
        </w:rPr>
        <w:t xml:space="preserve"> the week of April 3</w:t>
      </w:r>
      <w:r w:rsidR="00697F54">
        <w:rPr>
          <w:sz w:val="24"/>
          <w:szCs w:val="24"/>
        </w:rPr>
        <w:t xml:space="preserve"> in Ph</w:t>
      </w:r>
      <w:r w:rsidR="00E02076">
        <w:rPr>
          <w:sz w:val="24"/>
          <w:szCs w:val="24"/>
        </w:rPr>
        <w:t>oe</w:t>
      </w:r>
      <w:r w:rsidR="00697F54">
        <w:rPr>
          <w:sz w:val="24"/>
          <w:szCs w:val="24"/>
        </w:rPr>
        <w:t>nix. They have been making strides in filling seat vacancies.</w:t>
      </w:r>
      <w:r>
        <w:rPr>
          <w:sz w:val="24"/>
          <w:szCs w:val="24"/>
        </w:rPr>
        <w:t xml:space="preserve"> </w:t>
      </w:r>
      <w:r w:rsidR="00697F54">
        <w:rPr>
          <w:sz w:val="24"/>
          <w:szCs w:val="24"/>
        </w:rPr>
        <w:t xml:space="preserve">The priority for the meeting </w:t>
      </w:r>
      <w:r w:rsidR="00C44B49">
        <w:rPr>
          <w:sz w:val="24"/>
          <w:szCs w:val="24"/>
        </w:rPr>
        <w:t xml:space="preserve">was </w:t>
      </w:r>
      <w:r w:rsidR="00697F54">
        <w:rPr>
          <w:sz w:val="24"/>
          <w:szCs w:val="24"/>
        </w:rPr>
        <w:t xml:space="preserve">to contemplate the recent letter and discussions that the workgroup has had </w:t>
      </w:r>
      <w:r w:rsidR="004642FB">
        <w:rPr>
          <w:sz w:val="24"/>
          <w:szCs w:val="24"/>
        </w:rPr>
        <w:t>concerning</w:t>
      </w:r>
      <w:r w:rsidR="00697F54">
        <w:rPr>
          <w:sz w:val="24"/>
          <w:szCs w:val="24"/>
        </w:rPr>
        <w:t xml:space="preserve"> the contract support cost payment, the formulation strategy from the Office of Self-Governance, and establishing some pre-conditions for the release of funding. Additionally, the workgroup will allocate some time </w:t>
      </w:r>
      <w:r w:rsidR="004642FB">
        <w:rPr>
          <w:sz w:val="24"/>
          <w:szCs w:val="24"/>
        </w:rPr>
        <w:t>to review</w:t>
      </w:r>
      <w:r w:rsidR="00697F54">
        <w:rPr>
          <w:sz w:val="24"/>
          <w:szCs w:val="24"/>
        </w:rPr>
        <w:t xml:space="preserve"> the handbook developed to be used as a guideline for Tribes and federal partners to utilize in </w:t>
      </w:r>
      <w:r w:rsidR="004642FB">
        <w:rPr>
          <w:sz w:val="24"/>
          <w:szCs w:val="24"/>
        </w:rPr>
        <w:t>conducting</w:t>
      </w:r>
      <w:r w:rsidR="00697F54">
        <w:rPr>
          <w:sz w:val="24"/>
          <w:szCs w:val="24"/>
        </w:rPr>
        <w:t xml:space="preserve"> CSC activities. </w:t>
      </w:r>
    </w:p>
    <w:p w14:paraId="203B0EBE" w14:textId="77777777" w:rsidR="00BA4A19" w:rsidRDefault="00BA4A19" w:rsidP="001018CD">
      <w:pPr>
        <w:spacing w:after="0" w:line="240" w:lineRule="auto"/>
        <w:rPr>
          <w:sz w:val="24"/>
          <w:szCs w:val="24"/>
        </w:rPr>
      </w:pPr>
    </w:p>
    <w:p w14:paraId="10F48D4D" w14:textId="77777777" w:rsidR="00BA4A19" w:rsidRPr="00597599" w:rsidRDefault="00BA4A19" w:rsidP="00D16B97">
      <w:pPr>
        <w:jc w:val="center"/>
        <w:rPr>
          <w:b/>
          <w:bCs/>
          <w:sz w:val="24"/>
          <w:szCs w:val="24"/>
        </w:rPr>
      </w:pPr>
      <w:r w:rsidRPr="00597599">
        <w:rPr>
          <w:b/>
          <w:bCs/>
          <w:sz w:val="24"/>
          <w:szCs w:val="24"/>
        </w:rPr>
        <w:t>Wednesday, August 30</w:t>
      </w:r>
    </w:p>
    <w:p w14:paraId="10DD8510" w14:textId="77777777" w:rsidR="00BA4A19" w:rsidRPr="00597599" w:rsidRDefault="00BA4A19" w:rsidP="00BA4A19">
      <w:pPr>
        <w:spacing w:after="0" w:line="240" w:lineRule="auto"/>
        <w:rPr>
          <w:b/>
          <w:bCs/>
          <w:sz w:val="24"/>
          <w:szCs w:val="24"/>
          <w:u w:val="single"/>
        </w:rPr>
      </w:pPr>
      <w:r w:rsidRPr="00597599">
        <w:rPr>
          <w:b/>
          <w:bCs/>
          <w:sz w:val="24"/>
          <w:szCs w:val="24"/>
          <w:u w:val="single"/>
        </w:rPr>
        <w:t>Indian Affairs Single Audit Management Oversight</w:t>
      </w:r>
    </w:p>
    <w:p w14:paraId="1D46723C" w14:textId="77777777" w:rsidR="00BA4A19" w:rsidRPr="00D16B97" w:rsidRDefault="00BA4A19" w:rsidP="00BA4A19">
      <w:pPr>
        <w:spacing w:after="0" w:line="240" w:lineRule="auto"/>
        <w:rPr>
          <w:i/>
          <w:iCs/>
          <w:sz w:val="24"/>
          <w:szCs w:val="24"/>
        </w:rPr>
      </w:pPr>
      <w:r w:rsidRPr="00D16B97">
        <w:rPr>
          <w:i/>
          <w:iCs/>
          <w:sz w:val="24"/>
          <w:szCs w:val="24"/>
        </w:rPr>
        <w:t>Karen Francis, Director, Division of Internal Evaluation and Assessment (DIEA)</w:t>
      </w:r>
    </w:p>
    <w:p w14:paraId="32991CD9" w14:textId="77777777" w:rsidR="00BA4A19" w:rsidRDefault="00BA4A19" w:rsidP="00BA4A19">
      <w:pPr>
        <w:spacing w:after="0" w:line="240" w:lineRule="auto"/>
      </w:pPr>
    </w:p>
    <w:p w14:paraId="36F47B63" w14:textId="17985D89" w:rsidR="00BA4A19" w:rsidRDefault="00BA4A19" w:rsidP="00BA4A19">
      <w:pPr>
        <w:spacing w:after="0" w:line="240" w:lineRule="auto"/>
      </w:pPr>
      <w:r>
        <w:t xml:space="preserve">The </w:t>
      </w:r>
      <w:r w:rsidR="00801768">
        <w:t>Single Audit Act drives the single audit oversigh</w:t>
      </w:r>
      <w:r>
        <w:t xml:space="preserve">t, OMB Compliance Supplement, and the Inspector General Act of 1978. Based on those federal regulations and legislation, the DIEA put together an Indian Affairs Single Audit Report Handbook as a policy to guide oversight. The DIEA will be monitoring and tracking every Single Audit Act report submitted. The DIEA also provides support to solicitors. </w:t>
      </w:r>
    </w:p>
    <w:p w14:paraId="5C2E548A" w14:textId="7453E96B" w:rsidR="00BA4A19" w:rsidRDefault="00BA4A19" w:rsidP="00BA4A19">
      <w:pPr>
        <w:spacing w:after="0" w:line="240" w:lineRule="auto"/>
      </w:pPr>
      <w:r>
        <w:br/>
      </w:r>
      <w:r w:rsidR="00801768">
        <w:t>The Department of Interior Office of Inspector General provides oversight</w:t>
      </w:r>
      <w:r>
        <w:t xml:space="preserve">. </w:t>
      </w:r>
      <w:r w:rsidR="00801768">
        <w:t>Single audit firms perform audit</w:t>
      </w:r>
      <w:r>
        <w:t xml:space="preserve">s. The IA IDEA, solicitors, BIA regions, OSG, and BIE perform federal agency management oversight and actions. The auditees are tribal entities and Tribes. The DOI OIG in this single audit ecosystem is responsible for </w:t>
      </w:r>
      <w:r w:rsidR="00801768">
        <w:t>ensuring that the single audit firms can perform</w:t>
      </w:r>
      <w:r>
        <w:t xml:space="preserve"> quality audits based on the auditing standards, etc. Additionally, the OIG is looking at internal Indian Affairs to ensure agency management oversight is based on policy and federal requirements. </w:t>
      </w:r>
    </w:p>
    <w:p w14:paraId="786E0839" w14:textId="77777777" w:rsidR="00BA4A19" w:rsidRDefault="00BA4A19" w:rsidP="00BA4A19">
      <w:pPr>
        <w:spacing w:after="0" w:line="240" w:lineRule="auto"/>
      </w:pPr>
    </w:p>
    <w:p w14:paraId="303E6799" w14:textId="77777777" w:rsidR="00BA4A19" w:rsidRDefault="00BA4A19" w:rsidP="00BA4A19">
      <w:pPr>
        <w:spacing w:after="0" w:line="240" w:lineRule="auto"/>
      </w:pPr>
      <w:r>
        <w:t xml:space="preserve">The DIEA receives reports, conducts report reviews, offers training sessions, and issues management reports. The DIEA does evaluate and perform analysis on audit reports submitted to determine if there are any additional issues based on audit findings that need to be flagged. </w:t>
      </w:r>
    </w:p>
    <w:p w14:paraId="651919D8" w14:textId="77777777" w:rsidR="00BA4A19" w:rsidRDefault="00BA4A19" w:rsidP="00BA4A19">
      <w:pPr>
        <w:spacing w:after="0" w:line="240" w:lineRule="auto"/>
      </w:pPr>
    </w:p>
    <w:p w14:paraId="7B726A99" w14:textId="595F963F" w:rsidR="00D16B97" w:rsidRDefault="00BA4A19" w:rsidP="00BA4A19">
      <w:pPr>
        <w:spacing w:after="0" w:line="240" w:lineRule="auto"/>
      </w:pPr>
      <w:r>
        <w:t>The Tribe</w:t>
      </w:r>
      <w:r w:rsidR="006A1C29">
        <w:t>'</w:t>
      </w:r>
      <w:r>
        <w:t xml:space="preserve">s relationship with its auditor is direct. However, Indian Affairs </w:t>
      </w:r>
      <w:r w:rsidR="00801768">
        <w:t>requires</w:t>
      </w:r>
      <w:r>
        <w:t xml:space="preserve"> that when a single audit report is submitted, it begins to track the report and reviews and monitor any findings. So, DIEA </w:t>
      </w:r>
      <w:r>
        <w:lastRenderedPageBreak/>
        <w:t xml:space="preserve">works closely with the OSG to </w:t>
      </w:r>
      <w:r w:rsidR="00801768">
        <w:t>en</w:t>
      </w:r>
      <w:r>
        <w:t xml:space="preserve">sure they have a global view of all the single audit reports and any findings. </w:t>
      </w:r>
    </w:p>
    <w:p w14:paraId="4604B4A2" w14:textId="77777777" w:rsidR="00D16B97" w:rsidRDefault="00D16B97" w:rsidP="00BA4A19">
      <w:pPr>
        <w:spacing w:after="0" w:line="240" w:lineRule="auto"/>
      </w:pPr>
    </w:p>
    <w:p w14:paraId="644CD533" w14:textId="77777777" w:rsidR="00BA4A19" w:rsidRDefault="00BA4A19" w:rsidP="00BA4A19">
      <w:pPr>
        <w:spacing w:after="0" w:line="240" w:lineRule="auto"/>
      </w:pPr>
      <w:r>
        <w:t>DIEA Roles and Responsibilities are as follows:</w:t>
      </w:r>
    </w:p>
    <w:p w14:paraId="729BFBD6" w14:textId="77777777" w:rsidR="00BA4A19" w:rsidRDefault="00BA4A19" w:rsidP="00BA4A19">
      <w:pPr>
        <w:spacing w:after="0" w:line="240" w:lineRule="auto"/>
      </w:pPr>
    </w:p>
    <w:p w14:paraId="651939AD" w14:textId="691F5835" w:rsidR="00BA4A19" w:rsidRDefault="00801768" w:rsidP="00BA4A19">
      <w:pPr>
        <w:pStyle w:val="ListParagraph"/>
        <w:numPr>
          <w:ilvl w:val="0"/>
          <w:numId w:val="39"/>
        </w:numPr>
        <w:spacing w:after="0" w:line="240" w:lineRule="auto"/>
      </w:pPr>
      <w:r>
        <w:t>It is d</w:t>
      </w:r>
      <w:r w:rsidR="00BA4A19">
        <w:t>esignated by the Secretary of Interior as the office to receive Single Audit Reports from Tribes and Tribal Organizations.</w:t>
      </w:r>
    </w:p>
    <w:p w14:paraId="13C68249" w14:textId="5E8E249F" w:rsidR="00BA4A19" w:rsidRDefault="00BA4A19" w:rsidP="00BA4A19">
      <w:pPr>
        <w:pStyle w:val="ListParagraph"/>
        <w:numPr>
          <w:ilvl w:val="0"/>
          <w:numId w:val="39"/>
        </w:numPr>
        <w:spacing w:after="0" w:line="240" w:lineRule="auto"/>
      </w:pPr>
      <w:r>
        <w:t>Develops policy</w:t>
      </w:r>
      <w:r w:rsidR="00C84F72">
        <w:t>, provides guidance for overseeing Single Audit reports,</w:t>
      </w:r>
      <w:r>
        <w:t xml:space="preserve"> and ensures Indian Affairs </w:t>
      </w:r>
      <w:r w:rsidR="00801768">
        <w:t>complies</w:t>
      </w:r>
      <w:r>
        <w:t xml:space="preserve"> with the Single Audit Act and 2 CFR 200. </w:t>
      </w:r>
    </w:p>
    <w:p w14:paraId="4180D53B" w14:textId="5D270670" w:rsidR="00BA4A19" w:rsidRDefault="00ED03C7" w:rsidP="00BA4A19">
      <w:pPr>
        <w:pStyle w:val="ListParagraph"/>
        <w:numPr>
          <w:ilvl w:val="0"/>
          <w:numId w:val="39"/>
        </w:numPr>
        <w:spacing w:after="0" w:line="240" w:lineRule="auto"/>
      </w:pPr>
      <w:r>
        <w:t xml:space="preserve">The </w:t>
      </w:r>
      <w:r w:rsidR="00C84F72">
        <w:t>DIEA advises</w:t>
      </w:r>
      <w:r w:rsidR="00BA4A19">
        <w:t xml:space="preserve"> and assists </w:t>
      </w:r>
      <w:r w:rsidR="00C84F72">
        <w:t xml:space="preserve">with </w:t>
      </w:r>
      <w:r>
        <w:t>implementing</w:t>
      </w:r>
      <w:r w:rsidR="00BA4A19">
        <w:t xml:space="preserve"> the IA policies and procedures related to Single Audit management requirements, applicable laws, and regulations.</w:t>
      </w:r>
    </w:p>
    <w:p w14:paraId="06810072" w14:textId="77777777" w:rsidR="00BA4A19" w:rsidRDefault="00BA4A19" w:rsidP="00BA4A19">
      <w:pPr>
        <w:pStyle w:val="ListParagraph"/>
        <w:numPr>
          <w:ilvl w:val="0"/>
          <w:numId w:val="39"/>
        </w:numPr>
        <w:spacing w:after="0" w:line="240" w:lineRule="auto"/>
      </w:pPr>
      <w:r>
        <w:t xml:space="preserve">Advises IA Awarding Official on making a final determination of resolving Single Audit findings. (Adequate internal controls, supporting documents, etc.) </w:t>
      </w:r>
    </w:p>
    <w:p w14:paraId="1DFAB7E2" w14:textId="77777777" w:rsidR="00BA4A19" w:rsidRDefault="00BA4A19" w:rsidP="00BA4A19">
      <w:pPr>
        <w:pStyle w:val="ListParagraph"/>
        <w:numPr>
          <w:ilvl w:val="0"/>
          <w:numId w:val="39"/>
        </w:numPr>
        <w:spacing w:after="0" w:line="240" w:lineRule="auto"/>
      </w:pPr>
      <w:r>
        <w:t>Advises IA management and provides regular management reports on IA Single Audit oversight status and actions.</w:t>
      </w:r>
    </w:p>
    <w:p w14:paraId="366D21DC" w14:textId="77777777" w:rsidR="00BA4A19" w:rsidRDefault="00BA4A19" w:rsidP="00BA4A19">
      <w:pPr>
        <w:spacing w:after="0" w:line="240" w:lineRule="auto"/>
      </w:pPr>
    </w:p>
    <w:p w14:paraId="13B8B6B6" w14:textId="36600230" w:rsidR="00BA4A19" w:rsidRDefault="00BA4A19" w:rsidP="00BA4A19">
      <w:pPr>
        <w:spacing w:after="0" w:line="240" w:lineRule="auto"/>
      </w:pPr>
      <w:r>
        <w:t>The DIEA cannot advise Tribes on audits directly without going through Awarding Officials and cannot provide an extension to the due date for a Single Audit Report submission</w:t>
      </w:r>
      <w:r w:rsidRPr="009A0444">
        <w:rPr>
          <w:b/>
          <w:bCs/>
        </w:rPr>
        <w:t>. OMB is the only federal entity that can provide an extension regarding audit deadlines.</w:t>
      </w:r>
      <w:r>
        <w:t xml:space="preserve"> The DIEA does not have that authority, but it wishes it could. But what the DIEA can do is advise awarding officials and program managers regarding how to work with Tribes – for example, providing advice regarding a corrective action plan. </w:t>
      </w:r>
    </w:p>
    <w:p w14:paraId="30462A07" w14:textId="77777777" w:rsidR="00BA4A19" w:rsidRDefault="00BA4A19" w:rsidP="00BA4A19">
      <w:pPr>
        <w:spacing w:after="0" w:line="240" w:lineRule="auto"/>
      </w:pPr>
    </w:p>
    <w:p w14:paraId="0EC71414" w14:textId="77777777" w:rsidR="00BA4A19" w:rsidRDefault="00BA4A19" w:rsidP="00BA4A19">
      <w:r>
        <w:t xml:space="preserve">The IA Policy – Single Audit Handbook can be found at </w:t>
      </w:r>
      <w:hyperlink r:id="rId14" w:history="1">
        <w:r w:rsidRPr="004C78B8">
          <w:rPr>
            <w:rStyle w:val="Hyperlink"/>
          </w:rPr>
          <w:t>https://www.bia.gov/directives-system</w:t>
        </w:r>
      </w:hyperlink>
      <w:r>
        <w:t xml:space="preserve">.  </w:t>
      </w:r>
    </w:p>
    <w:p w14:paraId="065A0C53" w14:textId="77777777" w:rsidR="00BA4A19" w:rsidRPr="00597599" w:rsidRDefault="00BA4A19" w:rsidP="00BA4A19">
      <w:pPr>
        <w:rPr>
          <w:b/>
          <w:bCs/>
          <w:sz w:val="24"/>
          <w:szCs w:val="24"/>
        </w:rPr>
      </w:pPr>
      <w:r w:rsidRPr="00597599">
        <w:rPr>
          <w:b/>
          <w:bCs/>
          <w:sz w:val="24"/>
          <w:szCs w:val="24"/>
        </w:rPr>
        <w:t>Remedies for Noncompliance (Sanctions)</w:t>
      </w:r>
    </w:p>
    <w:p w14:paraId="47978373" w14:textId="33AB2D61" w:rsidR="00BA4A19" w:rsidRDefault="00BA4A19" w:rsidP="00BA4A19">
      <w:r w:rsidRPr="006E7CDD">
        <w:t xml:space="preserve">The Single Audit Act and 2 CFR 200 provide the authority </w:t>
      </w:r>
      <w:r>
        <w:t>to implement</w:t>
      </w:r>
      <w:r w:rsidRPr="006E7CDD">
        <w:t xml:space="preserve"> remedies when recipients are delinquent in submitting their SARs. Specifically, recipients who fail to submit a SAR</w:t>
      </w:r>
      <w:r>
        <w:t xml:space="preserve"> </w:t>
      </w:r>
      <w:r w:rsidRPr="006E7CDD">
        <w:t>by the due date will be subject to remedies for noncompliance as documented in 2 CFR 200.339 – Remedies for Noncompliance</w:t>
      </w:r>
      <w:r>
        <w:t>. Draft audit reports or statements that the report is in the mail are not sufficient action to remove imposed remedies. A</w:t>
      </w:r>
      <w:r w:rsidR="00203E3A">
        <w:t xml:space="preserve"> Tribe/Tribal organization must submit all delinquent SARs</w:t>
      </w:r>
      <w:r>
        <w:t xml:space="preserve"> to </w:t>
      </w:r>
      <w:r w:rsidR="00C84F72">
        <w:t xml:space="preserve">comply with the regulations </w:t>
      </w:r>
      <w:r>
        <w:t xml:space="preserve">and be removed from remedies. </w:t>
      </w:r>
    </w:p>
    <w:p w14:paraId="1A9AAE91" w14:textId="77777777" w:rsidR="00BA4A19" w:rsidRPr="00EE2C7D" w:rsidRDefault="00BA4A19" w:rsidP="00BA4A19">
      <w:pPr>
        <w:rPr>
          <w:b/>
          <w:bCs/>
        </w:rPr>
      </w:pPr>
      <w:r w:rsidRPr="00EE2C7D">
        <w:rPr>
          <w:b/>
          <w:bCs/>
        </w:rPr>
        <w:t>Vickey Hanvey</w:t>
      </w:r>
      <w:r>
        <w:rPr>
          <w:b/>
          <w:bCs/>
        </w:rPr>
        <w:t>, Program Policy Analyst, Office of Self-Governance</w:t>
      </w:r>
    </w:p>
    <w:p w14:paraId="3B27B7B5" w14:textId="31DFB5D4" w:rsidR="00BA4A19" w:rsidRDefault="00BA4A19" w:rsidP="00BA4A19">
      <w:r>
        <w:t xml:space="preserve">The </w:t>
      </w:r>
      <w:r w:rsidR="00926528">
        <w:t xml:space="preserve">OSG </w:t>
      </w:r>
      <w:r>
        <w:t xml:space="preserve">issued a memorandum to all </w:t>
      </w:r>
      <w:r w:rsidR="00926528">
        <w:t>SG</w:t>
      </w:r>
      <w:r>
        <w:t xml:space="preserve"> Tribes, </w:t>
      </w:r>
      <w:r w:rsidR="006D6E79">
        <w:t>which included</w:t>
      </w:r>
      <w:r>
        <w:t xml:space="preserve"> a schedule that showed the original due dates and the due dates </w:t>
      </w:r>
      <w:proofErr w:type="gramStart"/>
      <w:r>
        <w:t>subsequent to</w:t>
      </w:r>
      <w:proofErr w:type="gramEnd"/>
      <w:r>
        <w:t xml:space="preserve"> the issuance of the OMB extension. </w:t>
      </w:r>
    </w:p>
    <w:p w14:paraId="7DBF7C15" w14:textId="77777777" w:rsidR="00BA4A19" w:rsidRPr="001309D9" w:rsidRDefault="00BA4A19" w:rsidP="00BA4A19">
      <w:pPr>
        <w:rPr>
          <w:b/>
          <w:bCs/>
        </w:rPr>
      </w:pPr>
      <w:r w:rsidRPr="001309D9">
        <w:rPr>
          <w:b/>
          <w:bCs/>
        </w:rPr>
        <w:t>Tribal Leader</w:t>
      </w:r>
      <w:r>
        <w:rPr>
          <w:b/>
          <w:bCs/>
        </w:rPr>
        <w:t>:</w:t>
      </w:r>
    </w:p>
    <w:p w14:paraId="36082FF5" w14:textId="3BDB386D" w:rsidR="00BA4A19" w:rsidRDefault="00BA4A19" w:rsidP="00BA4A19">
      <w:r w:rsidRPr="00742F0E">
        <w:rPr>
          <w:b/>
          <w:bCs/>
        </w:rPr>
        <w:t>Question:</w:t>
      </w:r>
      <w:r>
        <w:t xml:space="preserve"> What division within OMB has authority </w:t>
      </w:r>
      <w:r w:rsidR="00203E3A">
        <w:t>concerning</w:t>
      </w:r>
      <w:r>
        <w:t xml:space="preserve"> extensions? </w:t>
      </w:r>
    </w:p>
    <w:p w14:paraId="7324AD6E" w14:textId="77777777" w:rsidR="00BA4A19" w:rsidRDefault="00BA4A19" w:rsidP="00BA4A19">
      <w:pPr>
        <w:rPr>
          <w:b/>
          <w:bCs/>
        </w:rPr>
      </w:pPr>
      <w:r>
        <w:rPr>
          <w:b/>
          <w:bCs/>
        </w:rPr>
        <w:t>Karen Francis:</w:t>
      </w:r>
    </w:p>
    <w:p w14:paraId="611E5696" w14:textId="39D29285" w:rsidR="00BA4A19" w:rsidRDefault="00BA4A19" w:rsidP="00BA4A19">
      <w:r w:rsidRPr="00742F0E">
        <w:rPr>
          <w:b/>
          <w:bCs/>
        </w:rPr>
        <w:t xml:space="preserve">Answer: </w:t>
      </w:r>
      <w:r w:rsidRPr="000C601E">
        <w:t>I do not directly work with OMB. In my previous capacity, I worked with them all the time. However, to my understanding,</w:t>
      </w:r>
      <w:r>
        <w:t xml:space="preserve"> and</w:t>
      </w:r>
      <w:r w:rsidRPr="000C601E">
        <w:t xml:space="preserve"> I can</w:t>
      </w:r>
      <w:r w:rsidR="006A1C29">
        <w:t>'</w:t>
      </w:r>
      <w:r w:rsidRPr="000C601E">
        <w:t xml:space="preserve">t speak on behalf of OMB, it will be coming from the financial management shop. And they also have </w:t>
      </w:r>
      <w:r>
        <w:t>a</w:t>
      </w:r>
      <w:r w:rsidRPr="000C601E">
        <w:t xml:space="preserve"> policy shop as well.</w:t>
      </w:r>
      <w:r>
        <w:rPr>
          <w:b/>
          <w:bCs/>
        </w:rPr>
        <w:t xml:space="preserve"> </w:t>
      </w:r>
      <w:r w:rsidRPr="00400E9E">
        <w:t xml:space="preserve">So, I do not know who can grant an extension. </w:t>
      </w:r>
      <w:r>
        <w:t xml:space="preserve">The only extension that I am aware of is due to COVID. </w:t>
      </w:r>
    </w:p>
    <w:p w14:paraId="63EC9B9F" w14:textId="6E4F5D74" w:rsidR="00BA4A19" w:rsidRPr="00451323" w:rsidRDefault="00BA4A19" w:rsidP="00BA4A19">
      <w:pPr>
        <w:rPr>
          <w:b/>
          <w:bCs/>
        </w:rPr>
      </w:pPr>
      <w:r w:rsidRPr="00451323">
        <w:rPr>
          <w:b/>
          <w:bCs/>
        </w:rPr>
        <w:t>The</w:t>
      </w:r>
      <w:r>
        <w:rPr>
          <w:b/>
          <w:bCs/>
        </w:rPr>
        <w:t>s</w:t>
      </w:r>
      <w:r w:rsidRPr="00451323">
        <w:rPr>
          <w:b/>
          <w:bCs/>
        </w:rPr>
        <w:t>e are</w:t>
      </w:r>
      <w:r>
        <w:rPr>
          <w:b/>
          <w:bCs/>
        </w:rPr>
        <w:t xml:space="preserve"> the</w:t>
      </w:r>
      <w:r w:rsidRPr="00451323">
        <w:rPr>
          <w:b/>
          <w:bCs/>
        </w:rPr>
        <w:t xml:space="preserve"> </w:t>
      </w:r>
      <w:r w:rsidR="006D6E79">
        <w:rPr>
          <w:b/>
          <w:bCs/>
        </w:rPr>
        <w:t xml:space="preserve">levels </w:t>
      </w:r>
      <w:r w:rsidRPr="00451323">
        <w:rPr>
          <w:b/>
          <w:bCs/>
        </w:rPr>
        <w:t>for imposing remedies (sanctions):</w:t>
      </w:r>
    </w:p>
    <w:p w14:paraId="071B0885" w14:textId="77777777" w:rsidR="00BA4A19" w:rsidRDefault="00BA4A19" w:rsidP="00BA4A19">
      <w:pPr>
        <w:pStyle w:val="ListParagraph"/>
        <w:numPr>
          <w:ilvl w:val="0"/>
          <w:numId w:val="40"/>
        </w:numPr>
      </w:pPr>
      <w:r>
        <w:lastRenderedPageBreak/>
        <w:t>A request/warning letter</w:t>
      </w:r>
    </w:p>
    <w:p w14:paraId="33227D0E" w14:textId="041DB9A2" w:rsidR="00BA4A19" w:rsidRDefault="006D6E79" w:rsidP="00BA4A19">
      <w:pPr>
        <w:pStyle w:val="ListParagraph"/>
        <w:numPr>
          <w:ilvl w:val="0"/>
          <w:numId w:val="40"/>
        </w:numPr>
      </w:pPr>
      <w:r>
        <w:t xml:space="preserve">Level 1:  </w:t>
      </w:r>
      <w:r w:rsidR="00BA4A19">
        <w:t xml:space="preserve">A letter of Notice of Remedies for Noncompliance – Change in payment </w:t>
      </w:r>
      <w:proofErr w:type="gramStart"/>
      <w:r w:rsidR="00BA4A19">
        <w:t>method</w:t>
      </w:r>
      <w:proofErr w:type="gramEnd"/>
    </w:p>
    <w:p w14:paraId="4D245867" w14:textId="6A5C6575" w:rsidR="00BA4A19" w:rsidRDefault="006D6E79" w:rsidP="00BA4A19">
      <w:pPr>
        <w:pStyle w:val="ListParagraph"/>
        <w:numPr>
          <w:ilvl w:val="0"/>
          <w:numId w:val="40"/>
        </w:numPr>
      </w:pPr>
      <w:r>
        <w:t xml:space="preserve">Level 2:  </w:t>
      </w:r>
      <w:r w:rsidR="00BA4A19">
        <w:t>A letter of Notice of Remedies for Noncompliance – Withholding of Contract Support Funds</w:t>
      </w:r>
    </w:p>
    <w:p w14:paraId="06604ADA" w14:textId="37E9AD24" w:rsidR="00BA4A19" w:rsidRDefault="006D6E79" w:rsidP="00BA4A19">
      <w:pPr>
        <w:pStyle w:val="ListParagraph"/>
        <w:numPr>
          <w:ilvl w:val="0"/>
          <w:numId w:val="40"/>
        </w:numPr>
      </w:pPr>
      <w:r>
        <w:t xml:space="preserve">Level 3:  </w:t>
      </w:r>
      <w:r w:rsidR="00BA4A19">
        <w:t xml:space="preserve">A letter of Notice of Intent to Reassume – approaching three years overdue in submitting the </w:t>
      </w:r>
      <w:proofErr w:type="gramStart"/>
      <w:r w:rsidR="00BA4A19">
        <w:t>SAR</w:t>
      </w:r>
      <w:proofErr w:type="gramEnd"/>
    </w:p>
    <w:p w14:paraId="37244218" w14:textId="77777777" w:rsidR="00BA4A19" w:rsidRPr="0076245E" w:rsidRDefault="00BA4A19" w:rsidP="00BA4A19">
      <w:pPr>
        <w:rPr>
          <w:b/>
          <w:bCs/>
        </w:rPr>
      </w:pPr>
      <w:r w:rsidRPr="0076245E">
        <w:rPr>
          <w:b/>
          <w:bCs/>
        </w:rPr>
        <w:t>Tribal Leader</w:t>
      </w:r>
    </w:p>
    <w:p w14:paraId="355E6F1F" w14:textId="7CAF4AFD" w:rsidR="00BA4A19" w:rsidRPr="00E06834" w:rsidRDefault="00BA4A19" w:rsidP="00BA4A19">
      <w:r w:rsidRPr="0076245E">
        <w:rPr>
          <w:b/>
          <w:bCs/>
        </w:rPr>
        <w:t>Question:</w:t>
      </w:r>
      <w:r>
        <w:t xml:space="preserve"> If there is a withholding of base funding or CSC funding, and we remedy the finding, how long will it take withheld funds to be released to the Tribe? </w:t>
      </w:r>
    </w:p>
    <w:p w14:paraId="58D6D2D0" w14:textId="6B22E956" w:rsidR="00BA4A19" w:rsidRDefault="00BA4A19" w:rsidP="00BA4A19">
      <w:pPr>
        <w:rPr>
          <w:b/>
          <w:bCs/>
        </w:rPr>
      </w:pPr>
      <w:r>
        <w:rPr>
          <w:b/>
          <w:bCs/>
        </w:rPr>
        <w:t xml:space="preserve">Vickey Hanvey </w:t>
      </w:r>
    </w:p>
    <w:p w14:paraId="44624B21" w14:textId="75C12A5E" w:rsidR="00BA4A19" w:rsidRDefault="00BA4A19" w:rsidP="00BA4A19">
      <w:r w:rsidRPr="0076245E">
        <w:rPr>
          <w:b/>
          <w:bCs/>
        </w:rPr>
        <w:t xml:space="preserve">Answer: </w:t>
      </w:r>
      <w:r w:rsidRPr="009E6F91">
        <w:t>We follow the procedures</w:t>
      </w:r>
      <w:r w:rsidR="006D6E79">
        <w:t xml:space="preserve"> in the IAM and Handbook</w:t>
      </w:r>
      <w:r w:rsidRPr="009E6F91">
        <w:t xml:space="preserve">, so first, we send out a request letter, then a </w:t>
      </w:r>
      <w:r w:rsidR="006D6E79">
        <w:t>reminder (</w:t>
      </w:r>
      <w:r w:rsidRPr="009E6F91">
        <w:t>warning</w:t>
      </w:r>
      <w:r w:rsidR="006D6E79">
        <w:t>)</w:t>
      </w:r>
      <w:r w:rsidRPr="009E6F91">
        <w:t xml:space="preserve"> letter. So, in other words, if a Tribe doesn</w:t>
      </w:r>
      <w:r w:rsidR="006A1C29">
        <w:t>'</w:t>
      </w:r>
      <w:r w:rsidRPr="009E6F91">
        <w:t>t submit an audit, we keep track of those, and a reminder letter goes out. Each letter will have a contact person listed.</w:t>
      </w:r>
      <w:r>
        <w:rPr>
          <w:b/>
          <w:bCs/>
        </w:rPr>
        <w:t xml:space="preserve"> </w:t>
      </w:r>
      <w:r w:rsidRPr="00572E1A">
        <w:t xml:space="preserve">If you are one year behind, </w:t>
      </w:r>
      <w:r w:rsidR="006D6E79">
        <w:t xml:space="preserve">or Level 1 Sanction, </w:t>
      </w:r>
      <w:r w:rsidRPr="00572E1A">
        <w:t>you go on monthly drawdowns</w:t>
      </w:r>
      <w:r>
        <w:t xml:space="preserve"> – you can draw down funding monthly. </w:t>
      </w:r>
      <w:r w:rsidR="006D6E79">
        <w:t xml:space="preserve">  If you are two years behind, or Level 2, you remain on monthly drawdowns and do not receive CSC payments.</w:t>
      </w:r>
    </w:p>
    <w:p w14:paraId="09E91B77" w14:textId="1AFF5F04" w:rsidR="00BA4A19" w:rsidRDefault="006D6E79" w:rsidP="00BA4A19">
      <w:r>
        <w:t xml:space="preserve">OSG will process the allocations and have the </w:t>
      </w:r>
      <w:proofErr w:type="gramStart"/>
      <w:r>
        <w:t xml:space="preserve">funds </w:t>
      </w:r>
      <w:r w:rsidR="00BA4A19">
        <w:t xml:space="preserve"> in</w:t>
      </w:r>
      <w:proofErr w:type="gramEnd"/>
      <w:r w:rsidR="00BA4A19">
        <w:t xml:space="preserve"> </w:t>
      </w:r>
      <w:r w:rsidR="00806ED8">
        <w:t>ASAP</w:t>
      </w:r>
      <w:r w:rsidR="00BA4A19">
        <w:t xml:space="preserve">, ready to </w:t>
      </w:r>
      <w:proofErr w:type="spellStart"/>
      <w:r w:rsidR="00BA4A19">
        <w:t>go</w:t>
      </w:r>
      <w:r w:rsidR="00806ED8">
        <w:t>.W</w:t>
      </w:r>
      <w:r w:rsidR="00BA4A19">
        <w:t>e</w:t>
      </w:r>
      <w:proofErr w:type="spellEnd"/>
      <w:r w:rsidR="00BA4A19">
        <w:t xml:space="preserve"> put a hold on </w:t>
      </w:r>
      <w:r w:rsidR="00806ED8">
        <w:t>those funds in ASAP,  then can</w:t>
      </w:r>
      <w:r w:rsidR="00BA4A19">
        <w:t xml:space="preserve"> release funds once a Tribe remedies</w:t>
      </w:r>
      <w:r w:rsidR="00806ED8">
        <w:t xml:space="preserve"> or submits the required audit. </w:t>
      </w:r>
    </w:p>
    <w:p w14:paraId="4ECF5BFA" w14:textId="77777777" w:rsidR="00BA4A19" w:rsidRPr="00C35146" w:rsidRDefault="00BA4A19" w:rsidP="00BA4A19">
      <w:pPr>
        <w:rPr>
          <w:b/>
          <w:bCs/>
        </w:rPr>
      </w:pPr>
      <w:r w:rsidRPr="00C35146">
        <w:rPr>
          <w:b/>
          <w:bCs/>
        </w:rPr>
        <w:t>Tribal Leader</w:t>
      </w:r>
    </w:p>
    <w:p w14:paraId="0408650F" w14:textId="6D40E645" w:rsidR="00BA4A19" w:rsidRDefault="00BA4A19" w:rsidP="00BA4A19">
      <w:r w:rsidRPr="00C35146">
        <w:rPr>
          <w:b/>
          <w:bCs/>
        </w:rPr>
        <w:t>Question:</w:t>
      </w:r>
      <w:r>
        <w:t xml:space="preserve"> So, what </w:t>
      </w:r>
      <w:r w:rsidR="003826DF">
        <w:t>are you saying</w:t>
      </w:r>
      <w:r>
        <w:t xml:space="preserve"> that these regulations override the Self-Governance law? The Self-Governance law says that Tribes will receive lump sum funding up front. </w:t>
      </w:r>
    </w:p>
    <w:p w14:paraId="51199EC1" w14:textId="77777777" w:rsidR="00BA4A19" w:rsidRPr="00F648EA" w:rsidRDefault="00BA4A19" w:rsidP="00BA4A19">
      <w:pPr>
        <w:rPr>
          <w:b/>
          <w:bCs/>
        </w:rPr>
      </w:pPr>
      <w:r w:rsidRPr="00F648EA">
        <w:rPr>
          <w:b/>
          <w:bCs/>
        </w:rPr>
        <w:t xml:space="preserve">Vickey Hanvey </w:t>
      </w:r>
    </w:p>
    <w:p w14:paraId="5EEC35B1" w14:textId="51ECDEEA" w:rsidR="00BA4A19" w:rsidRDefault="00BA4A19" w:rsidP="00BA4A19">
      <w:r w:rsidRPr="00F648EA">
        <w:rPr>
          <w:b/>
          <w:bCs/>
        </w:rPr>
        <w:t>Answer:</w:t>
      </w:r>
      <w:r>
        <w:t xml:space="preserve"> The </w:t>
      </w:r>
      <w:r w:rsidR="000644A3">
        <w:t xml:space="preserve">Self-Governance </w:t>
      </w:r>
      <w:r>
        <w:t xml:space="preserve">law also says </w:t>
      </w:r>
      <w:r w:rsidR="00806ED8">
        <w:t xml:space="preserve">Tribes </w:t>
      </w:r>
      <w:r>
        <w:t>will comply with the Single Audit Act, so that</w:t>
      </w:r>
      <w:r w:rsidR="006A1C29">
        <w:t>'</w:t>
      </w:r>
      <w:r>
        <w:t xml:space="preserve">s a legal question. </w:t>
      </w:r>
      <w:r w:rsidR="00806ED8">
        <w:t xml:space="preserve">OSG is following Department directives.  </w:t>
      </w:r>
      <w:r>
        <w:t>But as far as the funding goes, you are on monthly drawdowns the first year you are behind. The second year you are behind, you have the withholding of CSC</w:t>
      </w:r>
      <w:r w:rsidR="00806ED8">
        <w:t xml:space="preserve"> in addition to monthly drawdowns</w:t>
      </w:r>
      <w:r>
        <w:t xml:space="preserve">. At the 45-day mark </w:t>
      </w:r>
      <w:r w:rsidR="003826DF">
        <w:t>before the three-year mark, we must</w:t>
      </w:r>
      <w:r>
        <w:t xml:space="preserve"> include the Solicitor</w:t>
      </w:r>
      <w:r w:rsidR="006A1C29">
        <w:t>'</w:t>
      </w:r>
      <w:r>
        <w:t>s Office</w:t>
      </w:r>
      <w:r w:rsidR="00806ED8">
        <w:t xml:space="preserve"> for the Level 3 Notice of Reassumption</w:t>
      </w:r>
      <w:r>
        <w:t xml:space="preserve">. </w:t>
      </w:r>
    </w:p>
    <w:p w14:paraId="26D4B081" w14:textId="77777777" w:rsidR="00BA4A19" w:rsidRPr="00070CCB" w:rsidRDefault="00BA4A19" w:rsidP="00BA4A19">
      <w:pPr>
        <w:rPr>
          <w:b/>
          <w:bCs/>
        </w:rPr>
      </w:pPr>
      <w:r w:rsidRPr="00070CCB">
        <w:rPr>
          <w:b/>
          <w:bCs/>
        </w:rPr>
        <w:t>Tribal Leader</w:t>
      </w:r>
    </w:p>
    <w:p w14:paraId="4883F93D" w14:textId="77777777" w:rsidR="00BA4A19" w:rsidRDefault="00BA4A19" w:rsidP="00BA4A19">
      <w:r w:rsidRPr="00070CCB">
        <w:rPr>
          <w:b/>
          <w:bCs/>
        </w:rPr>
        <w:t>Question:</w:t>
      </w:r>
      <w:r>
        <w:t xml:space="preserve"> I am asking how long the Tribe waits for a release of sanctions.</w:t>
      </w:r>
    </w:p>
    <w:p w14:paraId="09FD71BB" w14:textId="77777777" w:rsidR="00BA4A19" w:rsidRPr="006F1A23" w:rsidRDefault="00BA4A19" w:rsidP="00BA4A19">
      <w:pPr>
        <w:rPr>
          <w:b/>
          <w:bCs/>
        </w:rPr>
      </w:pPr>
      <w:r w:rsidRPr="006F1A23">
        <w:rPr>
          <w:b/>
          <w:bCs/>
        </w:rPr>
        <w:t>Karen Francis</w:t>
      </w:r>
    </w:p>
    <w:p w14:paraId="275F3762" w14:textId="17B1A55A" w:rsidR="00E06834" w:rsidRPr="00D16B97" w:rsidRDefault="00BA4A19" w:rsidP="00BA4A19">
      <w:r w:rsidRPr="00F97257">
        <w:rPr>
          <w:b/>
          <w:bCs/>
        </w:rPr>
        <w:t xml:space="preserve">Answer: </w:t>
      </w:r>
      <w:r w:rsidRPr="004B45D6">
        <w:t>Normally</w:t>
      </w:r>
      <w:r>
        <w:t>,</w:t>
      </w:r>
      <w:r w:rsidRPr="004B45D6">
        <w:t xml:space="preserve"> within </w:t>
      </w:r>
      <w:r>
        <w:t>one week,</w:t>
      </w:r>
      <w:r w:rsidRPr="004B45D6">
        <w:t xml:space="preserve"> we will know if a Tribe submitted a Single Audit Report to us.</w:t>
      </w:r>
      <w:r>
        <w:rPr>
          <w:b/>
          <w:bCs/>
        </w:rPr>
        <w:t xml:space="preserve"> </w:t>
      </w:r>
      <w:r w:rsidRPr="00116B6A">
        <w:t>Do not mail the report</w:t>
      </w:r>
      <w:r>
        <w:t>; email i</w:t>
      </w:r>
      <w:r w:rsidRPr="00116B6A">
        <w:t>t</w:t>
      </w:r>
      <w:r>
        <w:t xml:space="preserve"> or upload it to the clearinghouse. </w:t>
      </w:r>
    </w:p>
    <w:p w14:paraId="460DCFBC" w14:textId="34E3EF47" w:rsidR="00BA4A19" w:rsidRPr="000571C2" w:rsidRDefault="00BA4A19" w:rsidP="00BA4A19">
      <w:pPr>
        <w:rPr>
          <w:b/>
          <w:bCs/>
          <w:sz w:val="24"/>
          <w:szCs w:val="24"/>
        </w:rPr>
      </w:pPr>
      <w:r w:rsidRPr="000571C2">
        <w:rPr>
          <w:b/>
          <w:bCs/>
          <w:sz w:val="24"/>
          <w:szCs w:val="24"/>
        </w:rPr>
        <w:t>Looking Ahead</w:t>
      </w:r>
    </w:p>
    <w:p w14:paraId="1AE72728" w14:textId="77777777" w:rsidR="00BA4A19" w:rsidRDefault="00BA4A19" w:rsidP="00BA4A19">
      <w:pPr>
        <w:pStyle w:val="ListParagraph"/>
        <w:numPr>
          <w:ilvl w:val="0"/>
          <w:numId w:val="41"/>
        </w:numPr>
        <w:spacing w:after="0" w:line="240" w:lineRule="auto"/>
      </w:pPr>
      <w:r>
        <w:t>OMB plans to issue the draft Uniform Guidance (2CFR200) by September 15 with a 60-day public comment period.</w:t>
      </w:r>
    </w:p>
    <w:p w14:paraId="30D5E46D" w14:textId="4FD105A1" w:rsidR="00BA4A19" w:rsidRDefault="00BA4A19" w:rsidP="00BA4A19">
      <w:pPr>
        <w:pStyle w:val="ListParagraph"/>
        <w:numPr>
          <w:ilvl w:val="0"/>
          <w:numId w:val="41"/>
        </w:numPr>
        <w:spacing w:after="0" w:line="240" w:lineRule="auto"/>
      </w:pPr>
      <w:r>
        <w:lastRenderedPageBreak/>
        <w:t>Ongoing audits/reviews by the Government Accountability Office (GAO) related to the IA</w:t>
      </w:r>
      <w:r w:rsidR="006A1C29">
        <w:t>'</w:t>
      </w:r>
      <w:r>
        <w:t>s Single Audit Oversight program.</w:t>
      </w:r>
    </w:p>
    <w:p w14:paraId="18A8FA99" w14:textId="77777777" w:rsidR="00BA4A19" w:rsidRDefault="00BA4A19" w:rsidP="00BA4A19">
      <w:pPr>
        <w:pStyle w:val="ListParagraph"/>
        <w:numPr>
          <w:ilvl w:val="0"/>
          <w:numId w:val="41"/>
        </w:numPr>
        <w:spacing w:after="0" w:line="240" w:lineRule="auto"/>
      </w:pPr>
      <w:r>
        <w:t>DIEA plans to revise the IA Single Audit Handbook in accordance with the updated OMB guidance, regulations, and related laws.</w:t>
      </w:r>
    </w:p>
    <w:p w14:paraId="25A2809F" w14:textId="1CF80AFA" w:rsidR="00BA4A19" w:rsidRDefault="00BA4A19" w:rsidP="00BA4A19">
      <w:pPr>
        <w:pStyle w:val="ListParagraph"/>
        <w:numPr>
          <w:ilvl w:val="0"/>
          <w:numId w:val="41"/>
        </w:numPr>
        <w:spacing w:after="0" w:line="240" w:lineRule="auto"/>
      </w:pPr>
      <w:r>
        <w:t xml:space="preserve">DIEA plans to partner with OSG to promote best practices. </w:t>
      </w:r>
      <w:r w:rsidR="00806ED8">
        <w:t xml:space="preserve"> Vickie with OSG is presenting best practices during the next DIEA training session.  </w:t>
      </w:r>
    </w:p>
    <w:p w14:paraId="662D20B6" w14:textId="77777777" w:rsidR="00BA4A19" w:rsidRDefault="00BA4A19" w:rsidP="00BA4A19">
      <w:pPr>
        <w:spacing w:after="0" w:line="240" w:lineRule="auto"/>
      </w:pPr>
    </w:p>
    <w:p w14:paraId="3310C603" w14:textId="77777777" w:rsidR="00D16B97" w:rsidRDefault="00D16B97" w:rsidP="00BA4A19">
      <w:pPr>
        <w:spacing w:after="0" w:line="240" w:lineRule="auto"/>
        <w:rPr>
          <w:b/>
          <w:bCs/>
          <w:sz w:val="24"/>
          <w:szCs w:val="24"/>
          <w:u w:val="single"/>
        </w:rPr>
      </w:pPr>
    </w:p>
    <w:p w14:paraId="6C4CD4DC" w14:textId="1521218C" w:rsidR="00BA4A19" w:rsidRDefault="00BA4A19" w:rsidP="00BA4A19">
      <w:pPr>
        <w:spacing w:after="0" w:line="240" w:lineRule="auto"/>
        <w:rPr>
          <w:b/>
          <w:bCs/>
          <w:sz w:val="24"/>
          <w:szCs w:val="24"/>
          <w:u w:val="single"/>
        </w:rPr>
      </w:pPr>
      <w:r w:rsidRPr="002D3F32">
        <w:rPr>
          <w:b/>
          <w:bCs/>
          <w:sz w:val="24"/>
          <w:szCs w:val="24"/>
          <w:u w:val="single"/>
        </w:rPr>
        <w:t xml:space="preserve">477 Program Update </w:t>
      </w:r>
    </w:p>
    <w:p w14:paraId="5A8EE798" w14:textId="77777777" w:rsidR="00BA4A19" w:rsidRPr="00D16B97" w:rsidRDefault="00BA4A19" w:rsidP="00BA4A19">
      <w:pPr>
        <w:spacing w:after="0" w:line="240" w:lineRule="auto"/>
        <w:rPr>
          <w:i/>
          <w:iCs/>
        </w:rPr>
      </w:pPr>
      <w:r w:rsidRPr="00D16B97">
        <w:rPr>
          <w:i/>
          <w:iCs/>
        </w:rPr>
        <w:t>Margaret Zientek, Assistant Director – Employment and Training and Co-Chair PL 477 Workgroup</w:t>
      </w:r>
    </w:p>
    <w:p w14:paraId="37578CCF" w14:textId="77777777" w:rsidR="00BA4A19" w:rsidRPr="00D16B97" w:rsidRDefault="00BA4A19" w:rsidP="00BA4A19">
      <w:pPr>
        <w:spacing w:after="0" w:line="240" w:lineRule="auto"/>
        <w:rPr>
          <w:i/>
          <w:iCs/>
        </w:rPr>
      </w:pPr>
      <w:r w:rsidRPr="00D16B97">
        <w:rPr>
          <w:i/>
          <w:iCs/>
        </w:rPr>
        <w:t>Anthony Riley, Acting Division Chief, Division of Work Force Development, BIA</w:t>
      </w:r>
    </w:p>
    <w:p w14:paraId="34C1ABD4" w14:textId="77777777" w:rsidR="00BA4A19" w:rsidRDefault="00BA4A19" w:rsidP="00BA4A19">
      <w:pPr>
        <w:spacing w:after="0" w:line="240" w:lineRule="auto"/>
        <w:rPr>
          <w:b/>
          <w:bCs/>
          <w:i/>
          <w:iCs/>
        </w:rPr>
      </w:pPr>
    </w:p>
    <w:p w14:paraId="04E9BA90" w14:textId="77777777" w:rsidR="00BA4A19" w:rsidRDefault="00BA4A19" w:rsidP="00BA4A19">
      <w:pPr>
        <w:spacing w:after="0" w:line="240" w:lineRule="auto"/>
        <w:rPr>
          <w:b/>
          <w:bCs/>
        </w:rPr>
      </w:pPr>
      <w:r w:rsidRPr="00F21EDF">
        <w:rPr>
          <w:b/>
          <w:bCs/>
        </w:rPr>
        <w:t>Anthoney Riley</w:t>
      </w:r>
    </w:p>
    <w:p w14:paraId="15A6D1EC" w14:textId="77777777" w:rsidR="00BA4A19" w:rsidRPr="00F21EDF" w:rsidRDefault="00BA4A19" w:rsidP="00BA4A19">
      <w:pPr>
        <w:spacing w:after="0" w:line="240" w:lineRule="auto"/>
        <w:rPr>
          <w:b/>
          <w:bCs/>
        </w:rPr>
      </w:pPr>
    </w:p>
    <w:p w14:paraId="3BD019A2" w14:textId="68A9C257" w:rsidR="00BA4A19" w:rsidRDefault="00BA4A19" w:rsidP="00BA4A19">
      <w:pPr>
        <w:spacing w:after="0" w:line="240" w:lineRule="auto"/>
      </w:pPr>
      <w:r>
        <w:t xml:space="preserve">Under the 477 </w:t>
      </w:r>
      <w:proofErr w:type="gramStart"/>
      <w:r>
        <w:t>law</w:t>
      </w:r>
      <w:proofErr w:type="gramEnd"/>
      <w:r>
        <w:t xml:space="preserve">, around 51.6% of the 574 federally recognized Tribes </w:t>
      </w:r>
      <w:r w:rsidR="0049580E">
        <w:t xml:space="preserve">currently </w:t>
      </w:r>
      <w:r>
        <w:t>participat</w:t>
      </w:r>
      <w:r w:rsidR="003826DF">
        <w:t>e</w:t>
      </w:r>
      <w:r>
        <w:t xml:space="preserve"> in the 477 Program. </w:t>
      </w:r>
      <w:r w:rsidR="003826DF">
        <w:t>Approximately $280 million has been transferred from various federal partners to date</w:t>
      </w:r>
      <w:r>
        <w:t>. T</w:t>
      </w:r>
      <w:r w:rsidR="003826DF">
        <w:t>welve federal partners are</w:t>
      </w:r>
      <w:r>
        <w:t xml:space="preserve"> participating in the program. Around seventy-six 477 plans have been approved – 50% are 638 contracts</w:t>
      </w:r>
      <w:r w:rsidR="003826DF">
        <w:t>,</w:t>
      </w:r>
      <w:r>
        <w:t xml:space="preserve"> and the other 50% are OSG compacts. </w:t>
      </w:r>
      <w:r w:rsidR="00FA120E">
        <w:t>Five hundred eighteen</w:t>
      </w:r>
      <w:r w:rsidR="003826DF">
        <w:t xml:space="preserve"> individual federal programs</w:t>
      </w:r>
      <w:r>
        <w:t xml:space="preserve"> are consolidated into seventy-six 477 plans. </w:t>
      </w:r>
    </w:p>
    <w:p w14:paraId="39743FF5" w14:textId="54C056A8" w:rsidR="00BA4A19" w:rsidRDefault="00BA4A19" w:rsidP="00BA4A19">
      <w:pPr>
        <w:spacing w:after="0" w:line="240" w:lineRule="auto"/>
      </w:pPr>
      <w:r>
        <w:t xml:space="preserve">Beginning in FY 2023, the program has </w:t>
      </w:r>
      <w:r w:rsidR="00FA120E">
        <w:t>implemented</w:t>
      </w:r>
      <w:r>
        <w:t xml:space="preserve"> an interdepartmental memorandum of agreement. Prior to that, there were a few federal programs that were denied. Since then, those same programs </w:t>
      </w:r>
      <w:r w:rsidR="00FA120E">
        <w:t>have been</w:t>
      </w:r>
      <w:r>
        <w:t xml:space="preserve"> reintroduced through the proposal </w:t>
      </w:r>
      <w:r w:rsidR="0049580E">
        <w:t>process,</w:t>
      </w:r>
      <w:r>
        <w:t xml:space="preserve"> and some have been approved. </w:t>
      </w:r>
      <w:r w:rsidR="001A0774">
        <w:t>T</w:t>
      </w:r>
      <w:r>
        <w:t xml:space="preserve">he Department of </w:t>
      </w:r>
      <w:r w:rsidR="0049580E">
        <w:t>Commerce</w:t>
      </w:r>
      <w:r>
        <w:t xml:space="preserve"> </w:t>
      </w:r>
      <w:r w:rsidR="001A0774">
        <w:t>has</w:t>
      </w:r>
      <w:r>
        <w:t xml:space="preserve"> the Minority Business Development Program (MBDA). From the Department of </w:t>
      </w:r>
      <w:proofErr w:type="gramStart"/>
      <w:r w:rsidR="0049580E">
        <w:t>Education</w:t>
      </w:r>
      <w:proofErr w:type="gramEnd"/>
      <w:r>
        <w:t xml:space="preserve"> they have the American Indian Vocational Rehabilitation Program and the Alaska Native Education Program. Under Health and Human Services, they have LIHEAP. Under HUD, they have the Indian Housing Block Grant (</w:t>
      </w:r>
      <w:r w:rsidR="00FA120E">
        <w:t>proposed and</w:t>
      </w:r>
      <w:r>
        <w:t xml:space="preserve"> currently under review). </w:t>
      </w:r>
    </w:p>
    <w:p w14:paraId="3BC66741" w14:textId="77777777" w:rsidR="00BA4A19" w:rsidRDefault="00BA4A19" w:rsidP="00BA4A19">
      <w:pPr>
        <w:spacing w:after="0" w:line="240" w:lineRule="auto"/>
      </w:pPr>
    </w:p>
    <w:p w14:paraId="45740CDE" w14:textId="77777777" w:rsidR="00BA4A19" w:rsidRDefault="00BA4A19" w:rsidP="00BA4A19">
      <w:pPr>
        <w:spacing w:after="0" w:line="240" w:lineRule="auto"/>
        <w:rPr>
          <w:b/>
          <w:bCs/>
        </w:rPr>
      </w:pPr>
      <w:r w:rsidRPr="00C92C17">
        <w:rPr>
          <w:b/>
          <w:bCs/>
        </w:rPr>
        <w:t>Margaret Zientek</w:t>
      </w:r>
    </w:p>
    <w:p w14:paraId="101E7BD7" w14:textId="77777777" w:rsidR="00BA4A19" w:rsidRDefault="00BA4A19" w:rsidP="00BA4A19">
      <w:pPr>
        <w:spacing w:after="0" w:line="240" w:lineRule="auto"/>
        <w:rPr>
          <w:b/>
          <w:bCs/>
        </w:rPr>
      </w:pPr>
    </w:p>
    <w:p w14:paraId="7C819CC0" w14:textId="6E5E7E14" w:rsidR="00BA4A19" w:rsidRDefault="00BA4A19" w:rsidP="00BA4A19">
      <w:pPr>
        <w:spacing w:after="0" w:line="240" w:lineRule="auto"/>
      </w:pPr>
      <w:r>
        <w:t>There was no way to revise the OMB 1076-0135 (version 2) reporting form without knowing what w</w:t>
      </w:r>
      <w:r w:rsidR="00FA120E">
        <w:t>ould</w:t>
      </w:r>
      <w:r>
        <w:t xml:space="preserve"> </w:t>
      </w:r>
      <w:r w:rsidR="00FA120E">
        <w:t>change</w:t>
      </w:r>
      <w:r>
        <w:t>, so new programs and agencies always have a learning curve.</w:t>
      </w:r>
    </w:p>
    <w:p w14:paraId="1367740E" w14:textId="77777777" w:rsidR="00BA4A19" w:rsidRDefault="00BA4A19" w:rsidP="00BA4A19">
      <w:pPr>
        <w:spacing w:after="0" w:line="240" w:lineRule="auto"/>
      </w:pPr>
    </w:p>
    <w:p w14:paraId="02DBEBC5" w14:textId="5C6415B1" w:rsidR="00BA4A19" w:rsidRDefault="00BA4A19" w:rsidP="00BA4A19">
      <w:pPr>
        <w:spacing w:after="0" w:line="240" w:lineRule="auto"/>
      </w:pPr>
      <w:r>
        <w:t xml:space="preserve">Regarding reporting, they are requesting the establishment of a workgroup to hold federal partners to the intent of Congress. </w:t>
      </w:r>
      <w:r w:rsidR="00FA120E">
        <w:t xml:space="preserve">Reminding federal partners that the </w:t>
      </w:r>
      <w:proofErr w:type="gramStart"/>
      <w:r w:rsidR="00FA120E">
        <w:t>477 reporting</w:t>
      </w:r>
      <w:proofErr w:type="gramEnd"/>
      <w:r w:rsidR="00FA120E">
        <w:t xml:space="preserve"> form is a unified approach is essential</w:t>
      </w:r>
      <w:r>
        <w:t xml:space="preserve">. The timeline is anticipated to take more than </w:t>
      </w:r>
      <w:r w:rsidR="00FA120E">
        <w:t>one</w:t>
      </w:r>
      <w:r>
        <w:t xml:space="preserve"> year to complete. They need to know what new programs are in 477 to accommodate the need to modify the current reporting structure. </w:t>
      </w:r>
    </w:p>
    <w:p w14:paraId="49F09E43" w14:textId="77777777" w:rsidR="00BA4A19" w:rsidRDefault="00BA4A19" w:rsidP="00BA4A19">
      <w:pPr>
        <w:spacing w:after="0" w:line="240" w:lineRule="auto"/>
      </w:pPr>
    </w:p>
    <w:p w14:paraId="2EF444F0" w14:textId="5916CFE7" w:rsidR="00BA4A19" w:rsidRDefault="00BA4A19" w:rsidP="00BA4A19">
      <w:pPr>
        <w:spacing w:after="0" w:line="240" w:lineRule="auto"/>
      </w:pPr>
      <w:r>
        <w:t xml:space="preserve">TANF-ACF-IM-2 was issued to inform Tribes administering Tribal TANF programs under a 477 plan of Pandemic Emergency Assistance Fund Reallotment. This action was contrary to other HHS programs where 477 can participate in reallotment proceeds but not </w:t>
      </w:r>
      <w:r w:rsidR="00EF61AE">
        <w:t>send back money</w:t>
      </w:r>
      <w:r>
        <w:t xml:space="preserve">. </w:t>
      </w:r>
      <w:r w:rsidR="00EF61AE">
        <w:t>N</w:t>
      </w:r>
      <w:r>
        <w:t xml:space="preserve">o monies were returned; however, no 477 Tribes participated in the reallotment. </w:t>
      </w:r>
    </w:p>
    <w:p w14:paraId="6C057870" w14:textId="77777777" w:rsidR="00BA4A19" w:rsidRDefault="00BA4A19" w:rsidP="00BA4A19">
      <w:pPr>
        <w:spacing w:after="0" w:line="240" w:lineRule="auto"/>
      </w:pPr>
    </w:p>
    <w:p w14:paraId="28EA44F1" w14:textId="36437EF8" w:rsidR="00BA4A19" w:rsidRDefault="00BA4A19" w:rsidP="00BA4A19">
      <w:pPr>
        <w:spacing w:after="0" w:line="240" w:lineRule="auto"/>
      </w:pPr>
      <w:r>
        <w:t xml:space="preserve">Some agencies have cited the Applicability of Uniform Guidance Requirement (2 CFR Part 200) to suggest that they have a role in overseeing internal tribal hiring decisions. This is not </w:t>
      </w:r>
      <w:r w:rsidR="00EF61AE">
        <w:t xml:space="preserve">the </w:t>
      </w:r>
      <w:r>
        <w:t xml:space="preserve">correct application of the rule. </w:t>
      </w:r>
    </w:p>
    <w:p w14:paraId="3E63ACE4" w14:textId="77777777" w:rsidR="00BA4A19" w:rsidRDefault="00BA4A19" w:rsidP="00BA4A19">
      <w:pPr>
        <w:spacing w:after="0" w:line="240" w:lineRule="auto"/>
      </w:pPr>
    </w:p>
    <w:p w14:paraId="10EC6A6B" w14:textId="77777777" w:rsidR="00BA4A19" w:rsidRDefault="00BA4A19" w:rsidP="00BA4A19">
      <w:pPr>
        <w:spacing w:after="0" w:line="240" w:lineRule="auto"/>
      </w:pPr>
      <w:r>
        <w:t xml:space="preserve">The Tribal Work Group requested an update from the Census Bureau regarding the Labor Force Report. </w:t>
      </w:r>
    </w:p>
    <w:p w14:paraId="58BB3834" w14:textId="77777777" w:rsidR="00BA4A19" w:rsidRDefault="00BA4A19" w:rsidP="00BA4A19">
      <w:pPr>
        <w:spacing w:after="0" w:line="240" w:lineRule="auto"/>
      </w:pPr>
    </w:p>
    <w:p w14:paraId="6832DAA1" w14:textId="6542CB5A" w:rsidR="00D16B97" w:rsidRDefault="00BA4A19" w:rsidP="00BA4A19">
      <w:pPr>
        <w:spacing w:after="0" w:line="240" w:lineRule="auto"/>
      </w:pPr>
      <w:r>
        <w:t xml:space="preserve">Tribes are asking federal partners to reconsider how SNAP E&amp;T can be awarded. Federal </w:t>
      </w:r>
      <w:r w:rsidR="00E06834">
        <w:t>partners</w:t>
      </w:r>
      <w:r>
        <w:t xml:space="preserve"> believe Tribes must be subgrantees of the state. Tribes assert that Tribes should be direct grantees from DC because of the government-to-government relationship between Tribes and the United States. </w:t>
      </w:r>
    </w:p>
    <w:p w14:paraId="782CA589" w14:textId="77777777" w:rsidR="00D16B97" w:rsidRPr="00C92C17" w:rsidRDefault="00D16B97" w:rsidP="00BA4A19">
      <w:pPr>
        <w:spacing w:after="0" w:line="240" w:lineRule="auto"/>
      </w:pPr>
    </w:p>
    <w:p w14:paraId="5B744AB6" w14:textId="01B6AA60" w:rsidR="00BA4A19" w:rsidRDefault="00BA4A19" w:rsidP="00BA4A19">
      <w:pPr>
        <w:spacing w:after="0" w:line="240" w:lineRule="auto"/>
        <w:rPr>
          <w:b/>
          <w:bCs/>
          <w:u w:val="single"/>
        </w:rPr>
      </w:pPr>
      <w:r w:rsidRPr="000D182C">
        <w:rPr>
          <w:b/>
          <w:bCs/>
          <w:u w:val="single"/>
        </w:rPr>
        <w:t xml:space="preserve">Tribal Leader </w:t>
      </w:r>
      <w:r w:rsidR="00E06834" w:rsidRPr="000D182C">
        <w:rPr>
          <w:b/>
          <w:bCs/>
          <w:u w:val="single"/>
        </w:rPr>
        <w:t>Discussion</w:t>
      </w:r>
      <w:r w:rsidRPr="000D182C">
        <w:rPr>
          <w:b/>
          <w:bCs/>
          <w:u w:val="single"/>
        </w:rPr>
        <w:t xml:space="preserve"> with Indian Affairs Leadership</w:t>
      </w:r>
    </w:p>
    <w:p w14:paraId="1763081A" w14:textId="77777777" w:rsidR="00BA4A19" w:rsidRPr="00D16B97" w:rsidRDefault="00BA4A19" w:rsidP="00BA4A19">
      <w:pPr>
        <w:spacing w:after="0" w:line="240" w:lineRule="auto"/>
        <w:rPr>
          <w:i/>
          <w:iCs/>
        </w:rPr>
      </w:pPr>
      <w:proofErr w:type="spellStart"/>
      <w:r w:rsidRPr="00D16B97">
        <w:rPr>
          <w:i/>
          <w:iCs/>
        </w:rPr>
        <w:t>Wizipan</w:t>
      </w:r>
      <w:proofErr w:type="spellEnd"/>
      <w:r w:rsidRPr="00D16B97">
        <w:rPr>
          <w:i/>
          <w:iCs/>
        </w:rPr>
        <w:t xml:space="preserve"> Garriot, Principal Deputy Assistant Secretary, Indian Affairs, DOI</w:t>
      </w:r>
    </w:p>
    <w:p w14:paraId="4D3A9B12" w14:textId="77777777" w:rsidR="00BA4A19" w:rsidRDefault="00BA4A19" w:rsidP="00BA4A19">
      <w:pPr>
        <w:spacing w:after="0" w:line="240" w:lineRule="auto"/>
        <w:rPr>
          <w:b/>
          <w:bCs/>
          <w:i/>
          <w:iCs/>
        </w:rPr>
      </w:pPr>
    </w:p>
    <w:p w14:paraId="5C5BE245" w14:textId="77777777" w:rsidR="00BA4A19" w:rsidRDefault="00BA4A19" w:rsidP="00BA4A19">
      <w:pPr>
        <w:spacing w:after="0" w:line="240" w:lineRule="auto"/>
        <w:rPr>
          <w:b/>
          <w:bCs/>
        </w:rPr>
      </w:pPr>
      <w:proofErr w:type="spellStart"/>
      <w:r w:rsidRPr="002632BE">
        <w:rPr>
          <w:b/>
          <w:bCs/>
        </w:rPr>
        <w:t>Wizipan</w:t>
      </w:r>
      <w:proofErr w:type="spellEnd"/>
      <w:r w:rsidRPr="002632BE">
        <w:rPr>
          <w:b/>
          <w:bCs/>
        </w:rPr>
        <w:t xml:space="preserve"> Garriot</w:t>
      </w:r>
    </w:p>
    <w:p w14:paraId="4C045E03" w14:textId="77777777" w:rsidR="00BA4A19" w:rsidRPr="002632BE" w:rsidRDefault="00BA4A19" w:rsidP="00BA4A19">
      <w:pPr>
        <w:spacing w:after="0" w:line="240" w:lineRule="auto"/>
        <w:rPr>
          <w:b/>
          <w:bCs/>
        </w:rPr>
      </w:pPr>
    </w:p>
    <w:p w14:paraId="5E9776F9" w14:textId="28501AAF" w:rsidR="00BA4A19" w:rsidRDefault="00BA4A19" w:rsidP="00BA4A19">
      <w:pPr>
        <w:spacing w:after="0" w:line="240" w:lineRule="auto"/>
      </w:pPr>
      <w:r>
        <w:t>Principal Deputy Assistant Secretary Garriot stated that he believes the Indian Affairs leadership has demonstrated a commitment to work with Tribes. Last week</w:t>
      </w:r>
      <w:r w:rsidR="00EF61AE">
        <w:t>,</w:t>
      </w:r>
      <w:r>
        <w:t xml:space="preserve"> there was a treaty rights and sacred sites consultation. Garriot recommended that Tribes weigh in heavily with their comments. Additionally, there is an OMB budget consultation upcoming. Garriot encouraged Tribes to participate and submit written comments. He emphasized the importance of coordinating with TBIC and STAC because a unified approach to the comment process is important. </w:t>
      </w:r>
    </w:p>
    <w:p w14:paraId="73BC1F25" w14:textId="77777777" w:rsidR="00BA4A19" w:rsidRDefault="00BA4A19" w:rsidP="00BA4A19">
      <w:pPr>
        <w:spacing w:after="0" w:line="240" w:lineRule="auto"/>
      </w:pPr>
    </w:p>
    <w:p w14:paraId="1303D5D7" w14:textId="1A674AFB" w:rsidR="00BA4A19" w:rsidRDefault="00BA4A19" w:rsidP="00BA4A19">
      <w:pPr>
        <w:tabs>
          <w:tab w:val="left" w:pos="6850"/>
        </w:tabs>
        <w:spacing w:after="0" w:line="240" w:lineRule="auto"/>
      </w:pPr>
      <w:r>
        <w:t xml:space="preserve">The vacancy rate at the BIA OJS law enforcement is probably </w:t>
      </w:r>
      <w:r w:rsidR="002248BC">
        <w:t>the lowest it ha</w:t>
      </w:r>
      <w:r>
        <w:t xml:space="preserve">s been in years. Now that staffing has reached adequate levels, the focus has shifted to ensuring that adequate resources are available to effectively carry out operations in accordance with the Tribal Law &amp; Order Act. They have prioritized working with the regions on filling 120 key priority positions. </w:t>
      </w:r>
      <w:proofErr w:type="gramStart"/>
      <w:r>
        <w:t>The majority of</w:t>
      </w:r>
      <w:proofErr w:type="gramEnd"/>
      <w:r>
        <w:t xml:space="preserve"> those positions have been filled. The next key priority is on the awarding official side – </w:t>
      </w:r>
      <w:r w:rsidR="002248BC">
        <w:t xml:space="preserve">the </w:t>
      </w:r>
      <w:r>
        <w:t xml:space="preserve">timely transference of funds is a top priority. There are currently 33 awarding official positions open. There is a discrepancy </w:t>
      </w:r>
      <w:r w:rsidR="002248BC">
        <w:t>in</w:t>
      </w:r>
      <w:r>
        <w:t xml:space="preserve"> </w:t>
      </w:r>
      <w:r w:rsidR="002248BC">
        <w:t>the number of contracts per awarding official compared</w:t>
      </w:r>
      <w:r>
        <w:t xml:space="preserve"> to the IHS. </w:t>
      </w:r>
    </w:p>
    <w:p w14:paraId="152F5547" w14:textId="77777777" w:rsidR="00BA4A19" w:rsidRDefault="00BA4A19" w:rsidP="00BA4A19">
      <w:pPr>
        <w:tabs>
          <w:tab w:val="left" w:pos="6850"/>
        </w:tabs>
        <w:spacing w:after="0" w:line="240" w:lineRule="auto"/>
      </w:pPr>
    </w:p>
    <w:p w14:paraId="53E732CC" w14:textId="1080828B" w:rsidR="00BA4A19" w:rsidRDefault="00BA4A19" w:rsidP="00BA4A19">
      <w:pPr>
        <w:tabs>
          <w:tab w:val="left" w:pos="6850"/>
        </w:tabs>
        <w:spacing w:after="0" w:line="240" w:lineRule="auto"/>
      </w:pPr>
      <w:r>
        <w:t>Larger policy work often tends to taper down as we near the end of th</w:t>
      </w:r>
      <w:r w:rsidR="002248BC">
        <w:t>is administration's first term, allowing</w:t>
      </w:r>
      <w:r>
        <w:t xml:space="preserve"> Indian Affairs leadership more time to focus on some of the fundamental elements of operations - for example, audit issues </w:t>
      </w:r>
      <w:r w:rsidR="002248BC">
        <w:t xml:space="preserve">and </w:t>
      </w:r>
      <w:r>
        <w:t xml:space="preserve">contract support issues. </w:t>
      </w:r>
    </w:p>
    <w:p w14:paraId="6794AA2D" w14:textId="77777777" w:rsidR="00BA4A19" w:rsidRDefault="00BA4A19" w:rsidP="00BA4A19">
      <w:pPr>
        <w:tabs>
          <w:tab w:val="left" w:pos="6850"/>
        </w:tabs>
        <w:spacing w:after="0" w:line="240" w:lineRule="auto"/>
      </w:pPr>
    </w:p>
    <w:p w14:paraId="4D517A08" w14:textId="77777777" w:rsidR="00BA4A19" w:rsidRDefault="00BA4A19" w:rsidP="00BA4A19">
      <w:pPr>
        <w:tabs>
          <w:tab w:val="left" w:pos="6850"/>
        </w:tabs>
        <w:spacing w:after="0" w:line="240" w:lineRule="auto"/>
        <w:rPr>
          <w:b/>
          <w:bCs/>
        </w:rPr>
      </w:pPr>
      <w:r w:rsidRPr="00A31047">
        <w:rPr>
          <w:b/>
          <w:bCs/>
        </w:rPr>
        <w:t>Chairman Allen</w:t>
      </w:r>
    </w:p>
    <w:p w14:paraId="49C35E25" w14:textId="77777777" w:rsidR="00BA4A19" w:rsidRPr="00FC097C" w:rsidRDefault="00BA4A19" w:rsidP="00BA4A19">
      <w:pPr>
        <w:tabs>
          <w:tab w:val="left" w:pos="6850"/>
        </w:tabs>
        <w:spacing w:after="0" w:line="240" w:lineRule="auto"/>
      </w:pPr>
    </w:p>
    <w:p w14:paraId="767AA4B6" w14:textId="2D1CDAD9" w:rsidR="00BA4A19" w:rsidRDefault="00BA4A19" w:rsidP="00E06834">
      <w:pPr>
        <w:tabs>
          <w:tab w:val="left" w:pos="6850"/>
        </w:tabs>
        <w:spacing w:after="0" w:line="240" w:lineRule="auto"/>
      </w:pPr>
      <w:r w:rsidRPr="00FC097C">
        <w:t xml:space="preserve">Chairman Allen </w:t>
      </w:r>
      <w:r>
        <w:t>expressed the Tribes</w:t>
      </w:r>
      <w:r w:rsidR="006A1C29">
        <w:t>'</w:t>
      </w:r>
      <w:r>
        <w:t xml:space="preserve"> concern regarding the indirect cost rate base. The CARES Act funding is officially exempt from inclusion in determining indirect cost rate</w:t>
      </w:r>
      <w:r w:rsidR="002248BC">
        <w:t>s</w:t>
      </w:r>
      <w:r>
        <w:t xml:space="preserve">. However, Tribes are now concerned about how the ARPA and Inflationary Reduction Act funds may impact their indirect cost rate. </w:t>
      </w:r>
    </w:p>
    <w:p w14:paraId="32901DB1" w14:textId="77777777" w:rsidR="00E06834" w:rsidRDefault="00E06834" w:rsidP="00E06834">
      <w:pPr>
        <w:tabs>
          <w:tab w:val="left" w:pos="6850"/>
        </w:tabs>
        <w:spacing w:after="0" w:line="240" w:lineRule="auto"/>
      </w:pPr>
    </w:p>
    <w:p w14:paraId="5A0DCBB5" w14:textId="77777777" w:rsidR="00BA4A19" w:rsidRDefault="00BA4A19" w:rsidP="00BA4A19">
      <w:pPr>
        <w:rPr>
          <w:b/>
          <w:bCs/>
        </w:rPr>
      </w:pPr>
      <w:proofErr w:type="spellStart"/>
      <w:r w:rsidRPr="00124ABC">
        <w:rPr>
          <w:b/>
          <w:bCs/>
        </w:rPr>
        <w:t>Wizipan</w:t>
      </w:r>
      <w:proofErr w:type="spellEnd"/>
      <w:r w:rsidRPr="00124ABC">
        <w:rPr>
          <w:b/>
          <w:bCs/>
        </w:rPr>
        <w:t xml:space="preserve"> Garriot</w:t>
      </w:r>
    </w:p>
    <w:p w14:paraId="6BA330D8" w14:textId="4D3568C1" w:rsidR="00E06834" w:rsidRPr="00D16B97" w:rsidRDefault="00BA4A19" w:rsidP="00D16B97">
      <w:r w:rsidRPr="005F7EDC">
        <w:t>Garriot mentioned that he w</w:t>
      </w:r>
      <w:r w:rsidR="002248BC">
        <w:t>ould</w:t>
      </w:r>
      <w:r w:rsidRPr="005F7EDC">
        <w:t xml:space="preserve"> </w:t>
      </w:r>
      <w:r w:rsidR="00C83465">
        <w:t>reanalyze</w:t>
      </w:r>
      <w:r w:rsidRPr="005F7EDC">
        <w:t xml:space="preserve"> and work with Sharee Freeman to ensure they a</w:t>
      </w:r>
      <w:r w:rsidR="002248BC">
        <w:t>dvocate for the IDC rate as much as possible to en</w:t>
      </w:r>
      <w:r w:rsidRPr="005F7EDC">
        <w:t xml:space="preserve">sure Tribes are not penalized </w:t>
      </w:r>
      <w:r>
        <w:t xml:space="preserve">for </w:t>
      </w:r>
      <w:r w:rsidR="003E4F1E">
        <w:t>receiving</w:t>
      </w:r>
      <w:r>
        <w:t xml:space="preserve"> one-time funding from recent legislation. They are aware of the </w:t>
      </w:r>
      <w:r w:rsidR="00E06834">
        <w:t>deficiencies</w:t>
      </w:r>
      <w:r>
        <w:t xml:space="preserve"> reported by the GAO and are frustrated because they often do not have adequate resources to address the</w:t>
      </w:r>
      <w:r w:rsidR="003E4F1E">
        <w:t>m</w:t>
      </w:r>
      <w:r>
        <w:t>.</w:t>
      </w:r>
    </w:p>
    <w:p w14:paraId="426ED894" w14:textId="320E5A19" w:rsidR="00BA4A19" w:rsidRPr="008B2A4A" w:rsidRDefault="00BA4A19" w:rsidP="00BA4A19">
      <w:pPr>
        <w:tabs>
          <w:tab w:val="left" w:pos="8820"/>
        </w:tabs>
        <w:spacing w:after="0" w:line="240" w:lineRule="auto"/>
        <w:rPr>
          <w:b/>
          <w:bCs/>
          <w:i/>
          <w:iCs/>
          <w:sz w:val="24"/>
          <w:szCs w:val="24"/>
          <w:u w:val="single"/>
        </w:rPr>
      </w:pPr>
      <w:r w:rsidRPr="008B2A4A">
        <w:rPr>
          <w:b/>
          <w:bCs/>
          <w:i/>
          <w:iCs/>
          <w:sz w:val="24"/>
          <w:szCs w:val="24"/>
          <w:u w:val="single"/>
        </w:rPr>
        <w:t>SGCETC Update</w:t>
      </w:r>
    </w:p>
    <w:p w14:paraId="317777AA" w14:textId="77777777" w:rsidR="00BA4A19" w:rsidRPr="008B2A4A" w:rsidRDefault="00BA4A19" w:rsidP="00BA4A19">
      <w:pPr>
        <w:tabs>
          <w:tab w:val="left" w:pos="8820"/>
        </w:tabs>
        <w:spacing w:after="0" w:line="240" w:lineRule="auto"/>
        <w:rPr>
          <w:b/>
          <w:bCs/>
          <w:i/>
          <w:iCs/>
          <w:sz w:val="24"/>
          <w:szCs w:val="24"/>
        </w:rPr>
      </w:pPr>
      <w:r w:rsidRPr="008B2A4A">
        <w:rPr>
          <w:b/>
          <w:bCs/>
          <w:i/>
          <w:iCs/>
          <w:sz w:val="24"/>
          <w:szCs w:val="24"/>
        </w:rPr>
        <w:t>Jay Spaan, Executive Director, SGCETC</w:t>
      </w:r>
    </w:p>
    <w:p w14:paraId="4F367CB0" w14:textId="77777777" w:rsidR="00BA4A19" w:rsidRPr="008B2A4A" w:rsidRDefault="00BA4A19" w:rsidP="00BA4A19">
      <w:pPr>
        <w:tabs>
          <w:tab w:val="left" w:pos="8820"/>
        </w:tabs>
        <w:spacing w:after="0" w:line="240" w:lineRule="auto"/>
        <w:rPr>
          <w:iCs/>
          <w:sz w:val="24"/>
          <w:szCs w:val="24"/>
        </w:rPr>
      </w:pPr>
    </w:p>
    <w:p w14:paraId="785A5429" w14:textId="77777777" w:rsidR="00BA4A19" w:rsidRPr="008B2A4A" w:rsidRDefault="00BA4A19" w:rsidP="00BA4A19">
      <w:pPr>
        <w:tabs>
          <w:tab w:val="left" w:pos="8820"/>
        </w:tabs>
        <w:spacing w:after="0" w:line="240" w:lineRule="auto"/>
        <w:rPr>
          <w:iCs/>
          <w:sz w:val="24"/>
          <w:szCs w:val="24"/>
        </w:rPr>
      </w:pPr>
      <w:r w:rsidRPr="008B2A4A">
        <w:rPr>
          <w:iCs/>
          <w:sz w:val="24"/>
          <w:szCs w:val="24"/>
        </w:rPr>
        <w:t xml:space="preserve">The 2023 Tribal Self-Governance Conference was held </w:t>
      </w:r>
      <w:r>
        <w:rPr>
          <w:iCs/>
          <w:sz w:val="24"/>
          <w:szCs w:val="24"/>
        </w:rPr>
        <w:t>at the River Spirit Resort Casino from June 26 to 29 in Tulsa, OK</w:t>
      </w:r>
      <w:r w:rsidRPr="008B2A4A">
        <w:rPr>
          <w:iCs/>
          <w:sz w:val="24"/>
          <w:szCs w:val="24"/>
        </w:rPr>
        <w:t>. The conference had just under 1</w:t>
      </w:r>
      <w:r>
        <w:rPr>
          <w:iCs/>
          <w:sz w:val="24"/>
          <w:szCs w:val="24"/>
        </w:rPr>
        <w:t>,</w:t>
      </w:r>
      <w:r w:rsidRPr="008B2A4A">
        <w:rPr>
          <w:iCs/>
          <w:sz w:val="24"/>
          <w:szCs w:val="24"/>
        </w:rPr>
        <w:t>200 people register</w:t>
      </w:r>
      <w:r>
        <w:rPr>
          <w:iCs/>
          <w:sz w:val="24"/>
          <w:szCs w:val="24"/>
        </w:rPr>
        <w:t>;</w:t>
      </w:r>
      <w:r w:rsidRPr="008B2A4A">
        <w:rPr>
          <w:iCs/>
          <w:sz w:val="24"/>
          <w:szCs w:val="24"/>
        </w:rPr>
        <w:t xml:space="preserve"> around 95% of registrants were in attendance. A survey was made available to conference attendees. 85% of </w:t>
      </w:r>
      <w:r w:rsidRPr="008B2A4A">
        <w:rPr>
          <w:iCs/>
          <w:sz w:val="24"/>
          <w:szCs w:val="24"/>
        </w:rPr>
        <w:lastRenderedPageBreak/>
        <w:t xml:space="preserve">attendees rated their overall impression of the conference as excellent or above average. Around 14% chose average. 85% of respondents said the topics were extremely or very relevant. 12% said the topics were moderately relevant, and 3% said the topics were slightly relevant. 94% of attendees said the conference was very well or well organized, and around 6% responded that the conference was </w:t>
      </w:r>
      <w:proofErr w:type="gramStart"/>
      <w:r w:rsidRPr="008B2A4A">
        <w:rPr>
          <w:iCs/>
          <w:sz w:val="24"/>
          <w:szCs w:val="24"/>
        </w:rPr>
        <w:t>fairly well</w:t>
      </w:r>
      <w:proofErr w:type="gramEnd"/>
      <w:r w:rsidRPr="008B2A4A">
        <w:rPr>
          <w:iCs/>
          <w:sz w:val="24"/>
          <w:szCs w:val="24"/>
        </w:rPr>
        <w:t xml:space="preserve"> organized. </w:t>
      </w:r>
    </w:p>
    <w:p w14:paraId="3C5B9C23" w14:textId="77777777" w:rsidR="00BA4A19" w:rsidRPr="008B2A4A" w:rsidRDefault="00BA4A19" w:rsidP="00BA4A19">
      <w:pPr>
        <w:tabs>
          <w:tab w:val="left" w:pos="8820"/>
        </w:tabs>
        <w:spacing w:after="0" w:line="240" w:lineRule="auto"/>
        <w:rPr>
          <w:iCs/>
          <w:sz w:val="24"/>
          <w:szCs w:val="24"/>
        </w:rPr>
      </w:pPr>
    </w:p>
    <w:p w14:paraId="2181AC47" w14:textId="77777777" w:rsidR="00BA4A19" w:rsidRPr="008B2A4A" w:rsidRDefault="00BA4A19" w:rsidP="00BA4A19">
      <w:pPr>
        <w:tabs>
          <w:tab w:val="left" w:pos="8820"/>
        </w:tabs>
        <w:spacing w:after="0" w:line="240" w:lineRule="auto"/>
        <w:rPr>
          <w:iCs/>
          <w:sz w:val="24"/>
          <w:szCs w:val="24"/>
        </w:rPr>
      </w:pPr>
      <w:r w:rsidRPr="008B2A4A">
        <w:rPr>
          <w:iCs/>
          <w:sz w:val="24"/>
          <w:szCs w:val="24"/>
        </w:rPr>
        <w:t>The 2024 Tribal Self-Governance Conference will be held at Wild Horse Pass Gila River Resorts &amp; Casinos in Chandler</w:t>
      </w:r>
      <w:r>
        <w:rPr>
          <w:iCs/>
          <w:sz w:val="24"/>
          <w:szCs w:val="24"/>
        </w:rPr>
        <w:t>,</w:t>
      </w:r>
      <w:r w:rsidRPr="008B2A4A">
        <w:rPr>
          <w:iCs/>
          <w:sz w:val="24"/>
          <w:szCs w:val="24"/>
        </w:rPr>
        <w:t xml:space="preserve"> Arizona</w:t>
      </w:r>
      <w:r>
        <w:rPr>
          <w:iCs/>
          <w:sz w:val="24"/>
          <w:szCs w:val="24"/>
        </w:rPr>
        <w:t>,</w:t>
      </w:r>
      <w:r w:rsidRPr="008B2A4A">
        <w:rPr>
          <w:iCs/>
          <w:sz w:val="24"/>
          <w:szCs w:val="24"/>
        </w:rPr>
        <w:t xml:space="preserve"> on April 15 – 18. Registration for the conference should open within the next month. </w:t>
      </w:r>
    </w:p>
    <w:p w14:paraId="06BAF72A" w14:textId="77777777" w:rsidR="00BA4A19" w:rsidRPr="008B2A4A" w:rsidRDefault="00BA4A19" w:rsidP="00BA4A19">
      <w:pPr>
        <w:tabs>
          <w:tab w:val="left" w:pos="8820"/>
        </w:tabs>
        <w:spacing w:after="0" w:line="240" w:lineRule="auto"/>
        <w:rPr>
          <w:b/>
          <w:bCs/>
          <w:i/>
          <w:iCs/>
          <w:sz w:val="24"/>
          <w:szCs w:val="24"/>
        </w:rPr>
      </w:pPr>
    </w:p>
    <w:p w14:paraId="4DA8B1CA" w14:textId="77777777" w:rsidR="00BA4A19" w:rsidRPr="008B2A4A" w:rsidRDefault="00BA4A19" w:rsidP="00BA4A19">
      <w:pPr>
        <w:tabs>
          <w:tab w:val="left" w:pos="8820"/>
        </w:tabs>
        <w:spacing w:after="0" w:line="240" w:lineRule="auto"/>
        <w:rPr>
          <w:b/>
          <w:bCs/>
          <w:i/>
          <w:iCs/>
          <w:sz w:val="24"/>
          <w:szCs w:val="24"/>
        </w:rPr>
      </w:pPr>
      <w:r w:rsidRPr="008B2A4A">
        <w:rPr>
          <w:b/>
          <w:bCs/>
          <w:i/>
          <w:iCs/>
          <w:sz w:val="24"/>
          <w:szCs w:val="24"/>
        </w:rPr>
        <w:t>For Our People</w:t>
      </w:r>
    </w:p>
    <w:p w14:paraId="5BB980AD" w14:textId="77777777" w:rsidR="00BA4A19" w:rsidRPr="008B2A4A" w:rsidRDefault="00BA4A19" w:rsidP="00BA4A19">
      <w:pPr>
        <w:tabs>
          <w:tab w:val="left" w:pos="8820"/>
        </w:tabs>
        <w:spacing w:after="0" w:line="240" w:lineRule="auto"/>
        <w:rPr>
          <w:b/>
          <w:bCs/>
          <w:i/>
          <w:iCs/>
          <w:sz w:val="24"/>
          <w:szCs w:val="24"/>
        </w:rPr>
      </w:pPr>
    </w:p>
    <w:p w14:paraId="768A5512" w14:textId="77777777" w:rsidR="00BA4A19" w:rsidRPr="008B2A4A" w:rsidRDefault="00BA4A19" w:rsidP="00BA4A19">
      <w:pPr>
        <w:tabs>
          <w:tab w:val="left" w:pos="8820"/>
        </w:tabs>
        <w:spacing w:after="0" w:line="240" w:lineRule="auto"/>
        <w:rPr>
          <w:iCs/>
          <w:sz w:val="24"/>
          <w:szCs w:val="24"/>
        </w:rPr>
      </w:pPr>
      <w:r w:rsidRPr="008B2A4A">
        <w:rPr>
          <w:i/>
          <w:iCs/>
          <w:sz w:val="24"/>
          <w:szCs w:val="24"/>
        </w:rPr>
        <w:t>For Our People, Stories of Tribal Self-Governance &amp; Sovereignty</w:t>
      </w:r>
      <w:r w:rsidRPr="008B2A4A">
        <w:rPr>
          <w:iCs/>
          <w:sz w:val="24"/>
          <w:szCs w:val="24"/>
        </w:rPr>
        <w:t xml:space="preserve"> is a </w:t>
      </w:r>
      <w:proofErr w:type="spellStart"/>
      <w:r w:rsidRPr="008B2A4A">
        <w:rPr>
          <w:iCs/>
          <w:sz w:val="24"/>
          <w:szCs w:val="24"/>
        </w:rPr>
        <w:t>docu</w:t>
      </w:r>
      <w:proofErr w:type="spellEnd"/>
      <w:r w:rsidRPr="008B2A4A">
        <w:rPr>
          <w:iCs/>
          <w:sz w:val="24"/>
          <w:szCs w:val="24"/>
        </w:rPr>
        <w:t xml:space="preserve">-series that SGCETC created in partnership with Fire Thief Productions. Season one has been completed and consists of three episodes. All episodes are available on the SGCETC website at </w:t>
      </w:r>
      <w:hyperlink r:id="rId15" w:history="1">
        <w:r w:rsidRPr="008B2A4A">
          <w:rPr>
            <w:rStyle w:val="Hyperlink"/>
            <w:iCs/>
            <w:sz w:val="24"/>
            <w:szCs w:val="24"/>
          </w:rPr>
          <w:t>https://www.tribalselfgov.org</w:t>
        </w:r>
      </w:hyperlink>
      <w:r w:rsidRPr="008B2A4A">
        <w:rPr>
          <w:iCs/>
          <w:sz w:val="24"/>
          <w:szCs w:val="24"/>
        </w:rPr>
        <w:t xml:space="preserve"> under the </w:t>
      </w:r>
      <w:r w:rsidRPr="008B2A4A">
        <w:rPr>
          <w:i/>
          <w:iCs/>
          <w:sz w:val="24"/>
          <w:szCs w:val="24"/>
        </w:rPr>
        <w:t>For Our People</w:t>
      </w:r>
      <w:r w:rsidRPr="008B2A4A">
        <w:rPr>
          <w:iCs/>
          <w:sz w:val="24"/>
          <w:szCs w:val="24"/>
        </w:rPr>
        <w:t xml:space="preserve"> tab. You can also view specific segments of the episodes at our new YouTube channel: @FOROURPEOPLE_TSG. </w:t>
      </w:r>
    </w:p>
    <w:p w14:paraId="33EE86C8" w14:textId="77777777" w:rsidR="00BA4A19" w:rsidRPr="008B2A4A" w:rsidRDefault="00BA4A19" w:rsidP="00BA4A19">
      <w:pPr>
        <w:tabs>
          <w:tab w:val="left" w:pos="8820"/>
        </w:tabs>
        <w:spacing w:after="0" w:line="240" w:lineRule="auto"/>
        <w:rPr>
          <w:iCs/>
          <w:sz w:val="24"/>
          <w:szCs w:val="24"/>
        </w:rPr>
      </w:pPr>
      <w:r w:rsidRPr="008B2A4A">
        <w:rPr>
          <w:i/>
          <w:iCs/>
          <w:sz w:val="24"/>
          <w:szCs w:val="24"/>
        </w:rPr>
        <w:t>Four Our People</w:t>
      </w:r>
      <w:r w:rsidRPr="008B2A4A">
        <w:rPr>
          <w:iCs/>
          <w:sz w:val="24"/>
          <w:szCs w:val="24"/>
        </w:rPr>
        <w:t xml:space="preserve"> seeks to change the narrative by illuminating the success of tribal nations &amp; increasing knowledge about self-governance authority. Season 2 consists of three episodes and is expected to be released by the end of October. </w:t>
      </w:r>
    </w:p>
    <w:p w14:paraId="60B56838" w14:textId="77777777" w:rsidR="00BA4A19" w:rsidRPr="008B2A4A" w:rsidRDefault="00BA4A19" w:rsidP="00BA4A19">
      <w:pPr>
        <w:tabs>
          <w:tab w:val="left" w:pos="8820"/>
        </w:tabs>
        <w:spacing w:after="0" w:line="240" w:lineRule="auto"/>
        <w:rPr>
          <w:iCs/>
          <w:sz w:val="24"/>
          <w:szCs w:val="24"/>
        </w:rPr>
      </w:pPr>
    </w:p>
    <w:p w14:paraId="51C59623" w14:textId="77777777" w:rsidR="003E4F1E" w:rsidRDefault="003E4F1E" w:rsidP="00BA4A19">
      <w:pPr>
        <w:tabs>
          <w:tab w:val="left" w:pos="8820"/>
        </w:tabs>
        <w:spacing w:after="0" w:line="240" w:lineRule="auto"/>
        <w:rPr>
          <w:b/>
          <w:bCs/>
          <w:iCs/>
          <w:sz w:val="24"/>
          <w:szCs w:val="24"/>
        </w:rPr>
      </w:pPr>
    </w:p>
    <w:p w14:paraId="2A6C03B6" w14:textId="150090F4" w:rsidR="00BA4A19" w:rsidRPr="008B2A4A" w:rsidRDefault="00BA4A19" w:rsidP="00BA4A19">
      <w:pPr>
        <w:tabs>
          <w:tab w:val="left" w:pos="8820"/>
        </w:tabs>
        <w:spacing w:after="0" w:line="240" w:lineRule="auto"/>
        <w:rPr>
          <w:b/>
          <w:bCs/>
          <w:iCs/>
          <w:sz w:val="24"/>
          <w:szCs w:val="24"/>
        </w:rPr>
      </w:pPr>
      <w:r w:rsidRPr="008B2A4A">
        <w:rPr>
          <w:b/>
          <w:bCs/>
          <w:iCs/>
          <w:sz w:val="24"/>
          <w:szCs w:val="24"/>
        </w:rPr>
        <w:t xml:space="preserve">Tribal Self-Governance Courses at ASU Indian Law Program </w:t>
      </w:r>
    </w:p>
    <w:p w14:paraId="0CD72F04" w14:textId="77777777" w:rsidR="00BA4A19" w:rsidRPr="008B2A4A" w:rsidRDefault="00BA4A19" w:rsidP="00BA4A19">
      <w:pPr>
        <w:tabs>
          <w:tab w:val="left" w:pos="8820"/>
        </w:tabs>
        <w:spacing w:after="0" w:line="240" w:lineRule="auto"/>
        <w:rPr>
          <w:b/>
          <w:bCs/>
          <w:iCs/>
          <w:sz w:val="24"/>
          <w:szCs w:val="24"/>
        </w:rPr>
      </w:pPr>
    </w:p>
    <w:p w14:paraId="36337463" w14:textId="77777777" w:rsidR="00BA4A19" w:rsidRPr="008B2A4A" w:rsidRDefault="00BA4A19" w:rsidP="00BA4A19">
      <w:pPr>
        <w:tabs>
          <w:tab w:val="left" w:pos="8820"/>
        </w:tabs>
        <w:spacing w:after="0" w:line="240" w:lineRule="auto"/>
        <w:rPr>
          <w:iCs/>
          <w:sz w:val="24"/>
          <w:szCs w:val="24"/>
        </w:rPr>
      </w:pPr>
      <w:r w:rsidRPr="008B2A4A">
        <w:rPr>
          <w:iCs/>
          <w:sz w:val="24"/>
          <w:szCs w:val="24"/>
        </w:rPr>
        <w:t xml:space="preserve">Executive Director Spaan has </w:t>
      </w:r>
      <w:r>
        <w:rPr>
          <w:iCs/>
          <w:sz w:val="24"/>
          <w:szCs w:val="24"/>
        </w:rPr>
        <w:t>offered</w:t>
      </w:r>
      <w:r w:rsidRPr="008B2A4A">
        <w:rPr>
          <w:iCs/>
          <w:sz w:val="24"/>
          <w:szCs w:val="24"/>
        </w:rPr>
        <w:t xml:space="preserve"> Tribal Self-Governance courses a</w:t>
      </w:r>
      <w:r>
        <w:rPr>
          <w:iCs/>
          <w:sz w:val="24"/>
          <w:szCs w:val="24"/>
        </w:rPr>
        <w:t>t</w:t>
      </w:r>
      <w:r w:rsidRPr="008B2A4A">
        <w:rPr>
          <w:iCs/>
          <w:sz w:val="24"/>
          <w:szCs w:val="24"/>
        </w:rPr>
        <w:t xml:space="preserve"> the Arizona State University (ASU) Indian Law Program</w:t>
      </w:r>
      <w:r>
        <w:rPr>
          <w:iCs/>
          <w:sz w:val="24"/>
          <w:szCs w:val="24"/>
        </w:rPr>
        <w:t>—</w:t>
      </w:r>
      <w:r w:rsidRPr="008B2A4A">
        <w:rPr>
          <w:iCs/>
          <w:sz w:val="24"/>
          <w:szCs w:val="24"/>
        </w:rPr>
        <w:t>Tribal Self-Governance I was offered in Fall 2021, Fall 2022, and Fall 2023. Registration has increased from 11 in 2021 to 21 in 2023. Tribal Self-Governance II was offered in Spring 2022 and Spring 2023 – hopeful it will be offered again in Spring 2024.</w:t>
      </w:r>
    </w:p>
    <w:p w14:paraId="6FB595A5" w14:textId="77777777" w:rsidR="00BA4A19" w:rsidRDefault="00BA4A19" w:rsidP="001018CD">
      <w:pPr>
        <w:spacing w:after="0" w:line="240" w:lineRule="auto"/>
        <w:rPr>
          <w:sz w:val="24"/>
          <w:szCs w:val="24"/>
        </w:rPr>
      </w:pPr>
    </w:p>
    <w:p w14:paraId="64DF8533" w14:textId="77777777" w:rsidR="00C60025" w:rsidRDefault="00C60025" w:rsidP="001018CD">
      <w:pPr>
        <w:spacing w:after="0" w:line="240" w:lineRule="auto"/>
        <w:rPr>
          <w:i/>
          <w:iCs/>
          <w:sz w:val="24"/>
          <w:szCs w:val="24"/>
        </w:rPr>
      </w:pPr>
    </w:p>
    <w:p w14:paraId="25376F38" w14:textId="77777777" w:rsidR="002C36F8" w:rsidRDefault="002C36F8" w:rsidP="009D0459">
      <w:pPr>
        <w:spacing w:after="0" w:line="240" w:lineRule="auto"/>
        <w:rPr>
          <w:sz w:val="24"/>
          <w:szCs w:val="24"/>
        </w:rPr>
      </w:pPr>
    </w:p>
    <w:p w14:paraId="0202B401" w14:textId="77777777" w:rsidR="00597B96" w:rsidRDefault="00597B96" w:rsidP="009D0459">
      <w:pPr>
        <w:spacing w:after="0" w:line="240" w:lineRule="auto"/>
        <w:rPr>
          <w:sz w:val="24"/>
          <w:szCs w:val="24"/>
        </w:rPr>
      </w:pPr>
    </w:p>
    <w:p w14:paraId="3644F074" w14:textId="77777777" w:rsidR="00597B96" w:rsidRDefault="00597B96" w:rsidP="009D0459">
      <w:pPr>
        <w:spacing w:after="0" w:line="240" w:lineRule="auto"/>
        <w:rPr>
          <w:sz w:val="24"/>
          <w:szCs w:val="24"/>
        </w:rPr>
      </w:pPr>
    </w:p>
    <w:p w14:paraId="5A57A06A" w14:textId="77777777" w:rsidR="00597B96" w:rsidRDefault="00597B96" w:rsidP="009D0459">
      <w:pPr>
        <w:spacing w:after="0" w:line="240" w:lineRule="auto"/>
        <w:rPr>
          <w:sz w:val="24"/>
          <w:szCs w:val="24"/>
        </w:rPr>
      </w:pPr>
    </w:p>
    <w:p w14:paraId="3BD46C2C" w14:textId="77777777" w:rsidR="00597B96" w:rsidRDefault="00597B96" w:rsidP="009D0459">
      <w:pPr>
        <w:spacing w:after="0" w:line="240" w:lineRule="auto"/>
        <w:rPr>
          <w:sz w:val="24"/>
          <w:szCs w:val="24"/>
        </w:rPr>
      </w:pPr>
    </w:p>
    <w:p w14:paraId="07212963" w14:textId="77777777" w:rsidR="00597B96" w:rsidRDefault="00597B96" w:rsidP="009D0459">
      <w:pPr>
        <w:spacing w:after="0" w:line="240" w:lineRule="auto"/>
        <w:rPr>
          <w:sz w:val="24"/>
          <w:szCs w:val="24"/>
        </w:rPr>
      </w:pPr>
    </w:p>
    <w:p w14:paraId="37AB60BD" w14:textId="77777777" w:rsidR="00597B96" w:rsidRDefault="00597B96" w:rsidP="009D0459">
      <w:pPr>
        <w:spacing w:after="0" w:line="240" w:lineRule="auto"/>
        <w:rPr>
          <w:sz w:val="24"/>
          <w:szCs w:val="24"/>
        </w:rPr>
      </w:pPr>
    </w:p>
    <w:p w14:paraId="493D7F20" w14:textId="77777777" w:rsidR="00597B96" w:rsidRDefault="00597B96" w:rsidP="009D0459">
      <w:pPr>
        <w:spacing w:after="0" w:line="240" w:lineRule="auto"/>
        <w:rPr>
          <w:sz w:val="24"/>
          <w:szCs w:val="24"/>
        </w:rPr>
      </w:pPr>
    </w:p>
    <w:p w14:paraId="37989456" w14:textId="77777777" w:rsidR="00597B96" w:rsidRPr="00597B96" w:rsidRDefault="00597B96" w:rsidP="009D0459">
      <w:pPr>
        <w:spacing w:after="0" w:line="240" w:lineRule="auto"/>
        <w:rPr>
          <w:sz w:val="24"/>
          <w:szCs w:val="24"/>
        </w:rPr>
      </w:pPr>
    </w:p>
    <w:p w14:paraId="7201A702" w14:textId="77777777" w:rsidR="00C60025" w:rsidRPr="001018CD" w:rsidRDefault="00C60025" w:rsidP="001018CD">
      <w:pPr>
        <w:spacing w:after="0" w:line="240" w:lineRule="auto"/>
        <w:rPr>
          <w:i/>
          <w:iCs/>
          <w:sz w:val="24"/>
          <w:szCs w:val="24"/>
        </w:rPr>
      </w:pPr>
    </w:p>
    <w:p w14:paraId="3CC81A2F" w14:textId="77777777" w:rsidR="001018CD" w:rsidRPr="001018CD" w:rsidRDefault="001018CD" w:rsidP="001018CD">
      <w:pPr>
        <w:rPr>
          <w:i/>
          <w:iCs/>
          <w:sz w:val="24"/>
          <w:szCs w:val="24"/>
          <w:u w:val="single"/>
        </w:rPr>
      </w:pPr>
    </w:p>
    <w:p w14:paraId="1AB65771" w14:textId="77777777" w:rsidR="006D762E" w:rsidRPr="006D762E" w:rsidRDefault="006D762E" w:rsidP="00177805">
      <w:pPr>
        <w:rPr>
          <w:sz w:val="24"/>
          <w:szCs w:val="24"/>
          <w:u w:val="single"/>
        </w:rPr>
      </w:pPr>
    </w:p>
    <w:sectPr w:rsidR="006D762E" w:rsidRPr="006D76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64B6" w14:textId="77777777" w:rsidR="00690CED" w:rsidRDefault="00690CED">
      <w:pPr>
        <w:spacing w:after="0" w:line="240" w:lineRule="auto"/>
      </w:pPr>
      <w:r>
        <w:separator/>
      </w:r>
    </w:p>
  </w:endnote>
  <w:endnote w:type="continuationSeparator" w:id="0">
    <w:p w14:paraId="1A34EE63" w14:textId="77777777" w:rsidR="00690CED" w:rsidRDefault="0069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4822"/>
      <w:docPartObj>
        <w:docPartGallery w:val="Page Numbers (Bottom of Page)"/>
        <w:docPartUnique/>
      </w:docPartObj>
    </w:sdtPr>
    <w:sdtContent>
      <w:sdt>
        <w:sdtPr>
          <w:id w:val="1728636285"/>
          <w:docPartObj>
            <w:docPartGallery w:val="Page Numbers (Top of Page)"/>
            <w:docPartUnique/>
          </w:docPartObj>
        </w:sdtPr>
        <w:sdtContent>
          <w:p w14:paraId="36D8DD15" w14:textId="5F5F07F2" w:rsidR="006E7E03" w:rsidRDefault="00CE0E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B1869"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6D67" w14:textId="77777777" w:rsidR="00690CED" w:rsidRDefault="00690CED">
      <w:pPr>
        <w:spacing w:after="0" w:line="240" w:lineRule="auto"/>
      </w:pPr>
      <w:r>
        <w:separator/>
      </w:r>
    </w:p>
  </w:footnote>
  <w:footnote w:type="continuationSeparator" w:id="0">
    <w:p w14:paraId="207783E6" w14:textId="77777777" w:rsidR="00690CED" w:rsidRDefault="00690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C9"/>
    <w:multiLevelType w:val="hybridMultilevel"/>
    <w:tmpl w:val="4CFCD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56827"/>
    <w:multiLevelType w:val="hybridMultilevel"/>
    <w:tmpl w:val="D29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66734"/>
    <w:multiLevelType w:val="hybridMultilevel"/>
    <w:tmpl w:val="1E5C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6DA3"/>
    <w:multiLevelType w:val="hybridMultilevel"/>
    <w:tmpl w:val="CF80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0676"/>
    <w:multiLevelType w:val="hybridMultilevel"/>
    <w:tmpl w:val="38B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08E0"/>
    <w:multiLevelType w:val="hybridMultilevel"/>
    <w:tmpl w:val="404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32B89"/>
    <w:multiLevelType w:val="hybridMultilevel"/>
    <w:tmpl w:val="AC1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2AF1"/>
    <w:multiLevelType w:val="hybridMultilevel"/>
    <w:tmpl w:val="4A6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D56AA"/>
    <w:multiLevelType w:val="hybridMultilevel"/>
    <w:tmpl w:val="DE5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36FA"/>
    <w:multiLevelType w:val="hybridMultilevel"/>
    <w:tmpl w:val="B60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56B9"/>
    <w:multiLevelType w:val="hybridMultilevel"/>
    <w:tmpl w:val="7380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D17BC"/>
    <w:multiLevelType w:val="hybridMultilevel"/>
    <w:tmpl w:val="73E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75A31"/>
    <w:multiLevelType w:val="hybridMultilevel"/>
    <w:tmpl w:val="BE38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4EA4"/>
    <w:multiLevelType w:val="hybridMultilevel"/>
    <w:tmpl w:val="398E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53CD"/>
    <w:multiLevelType w:val="hybridMultilevel"/>
    <w:tmpl w:val="4B3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4400B"/>
    <w:multiLevelType w:val="hybridMultilevel"/>
    <w:tmpl w:val="66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F381E"/>
    <w:multiLevelType w:val="hybridMultilevel"/>
    <w:tmpl w:val="168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740F7"/>
    <w:multiLevelType w:val="hybridMultilevel"/>
    <w:tmpl w:val="F43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549B9"/>
    <w:multiLevelType w:val="hybridMultilevel"/>
    <w:tmpl w:val="086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03B6"/>
    <w:multiLevelType w:val="hybridMultilevel"/>
    <w:tmpl w:val="1E9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B75C4"/>
    <w:multiLevelType w:val="hybridMultilevel"/>
    <w:tmpl w:val="3E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94E37"/>
    <w:multiLevelType w:val="hybridMultilevel"/>
    <w:tmpl w:val="A206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46040"/>
    <w:multiLevelType w:val="hybridMultilevel"/>
    <w:tmpl w:val="F0FCA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5329"/>
    <w:multiLevelType w:val="hybridMultilevel"/>
    <w:tmpl w:val="CCB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C7F86"/>
    <w:multiLevelType w:val="hybridMultilevel"/>
    <w:tmpl w:val="FACE36B0"/>
    <w:lvl w:ilvl="0" w:tplc="C88C3C7C">
      <w:start w:val="1"/>
      <w:numFmt w:val="bullet"/>
      <w:lvlText w:val=""/>
      <w:lvlJc w:val="left"/>
      <w:pPr>
        <w:ind w:left="720" w:hanging="360"/>
      </w:pPr>
      <w:rPr>
        <w:rFonts w:ascii="Symbol" w:hAnsi="Symbol" w:hint="default"/>
      </w:rPr>
    </w:lvl>
    <w:lvl w:ilvl="1" w:tplc="CE3ECD14">
      <w:start w:val="1"/>
      <w:numFmt w:val="bullet"/>
      <w:lvlText w:val="o"/>
      <w:lvlJc w:val="left"/>
      <w:pPr>
        <w:ind w:left="1440" w:hanging="360"/>
      </w:pPr>
      <w:rPr>
        <w:rFonts w:ascii="Courier New" w:hAnsi="Courier New" w:cs="Courier New" w:hint="default"/>
      </w:rPr>
    </w:lvl>
    <w:lvl w:ilvl="2" w:tplc="F97A7A38">
      <w:start w:val="1"/>
      <w:numFmt w:val="bullet"/>
      <w:lvlText w:val=""/>
      <w:lvlJc w:val="left"/>
      <w:pPr>
        <w:ind w:left="2160" w:hanging="360"/>
      </w:pPr>
      <w:rPr>
        <w:rFonts w:ascii="Wingdings" w:hAnsi="Wingdings" w:hint="default"/>
      </w:rPr>
    </w:lvl>
    <w:lvl w:ilvl="3" w:tplc="54E436AE">
      <w:start w:val="1"/>
      <w:numFmt w:val="bullet"/>
      <w:lvlText w:val=""/>
      <w:lvlJc w:val="left"/>
      <w:pPr>
        <w:ind w:left="2880" w:hanging="360"/>
      </w:pPr>
      <w:rPr>
        <w:rFonts w:ascii="Symbol" w:hAnsi="Symbol" w:hint="default"/>
      </w:rPr>
    </w:lvl>
    <w:lvl w:ilvl="4" w:tplc="2F9CE6DE" w:tentative="1">
      <w:start w:val="1"/>
      <w:numFmt w:val="bullet"/>
      <w:lvlText w:val="o"/>
      <w:lvlJc w:val="left"/>
      <w:pPr>
        <w:ind w:left="3600" w:hanging="360"/>
      </w:pPr>
      <w:rPr>
        <w:rFonts w:ascii="Courier New" w:hAnsi="Courier New" w:cs="Courier New" w:hint="default"/>
      </w:rPr>
    </w:lvl>
    <w:lvl w:ilvl="5" w:tplc="85A0C5E8" w:tentative="1">
      <w:start w:val="1"/>
      <w:numFmt w:val="bullet"/>
      <w:lvlText w:val=""/>
      <w:lvlJc w:val="left"/>
      <w:pPr>
        <w:ind w:left="4320" w:hanging="360"/>
      </w:pPr>
      <w:rPr>
        <w:rFonts w:ascii="Wingdings" w:hAnsi="Wingdings" w:hint="default"/>
      </w:rPr>
    </w:lvl>
    <w:lvl w:ilvl="6" w:tplc="EBF6CFB4" w:tentative="1">
      <w:start w:val="1"/>
      <w:numFmt w:val="bullet"/>
      <w:lvlText w:val=""/>
      <w:lvlJc w:val="left"/>
      <w:pPr>
        <w:ind w:left="5040" w:hanging="360"/>
      </w:pPr>
      <w:rPr>
        <w:rFonts w:ascii="Symbol" w:hAnsi="Symbol" w:hint="default"/>
      </w:rPr>
    </w:lvl>
    <w:lvl w:ilvl="7" w:tplc="CCD8F8E0" w:tentative="1">
      <w:start w:val="1"/>
      <w:numFmt w:val="bullet"/>
      <w:lvlText w:val="o"/>
      <w:lvlJc w:val="left"/>
      <w:pPr>
        <w:ind w:left="5760" w:hanging="360"/>
      </w:pPr>
      <w:rPr>
        <w:rFonts w:ascii="Courier New" w:hAnsi="Courier New" w:cs="Courier New" w:hint="default"/>
      </w:rPr>
    </w:lvl>
    <w:lvl w:ilvl="8" w:tplc="404AEAD4" w:tentative="1">
      <w:start w:val="1"/>
      <w:numFmt w:val="bullet"/>
      <w:lvlText w:val=""/>
      <w:lvlJc w:val="left"/>
      <w:pPr>
        <w:ind w:left="6480" w:hanging="360"/>
      </w:pPr>
      <w:rPr>
        <w:rFonts w:ascii="Wingdings" w:hAnsi="Wingdings" w:hint="default"/>
      </w:rPr>
    </w:lvl>
  </w:abstractNum>
  <w:abstractNum w:abstractNumId="25" w15:restartNumberingAfterBreak="0">
    <w:nsid w:val="489F4006"/>
    <w:multiLevelType w:val="hybridMultilevel"/>
    <w:tmpl w:val="AC7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26DA"/>
    <w:multiLevelType w:val="hybridMultilevel"/>
    <w:tmpl w:val="518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F0F5B"/>
    <w:multiLevelType w:val="hybridMultilevel"/>
    <w:tmpl w:val="AAC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C52FD"/>
    <w:multiLevelType w:val="hybridMultilevel"/>
    <w:tmpl w:val="1BA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06BFC"/>
    <w:multiLevelType w:val="hybridMultilevel"/>
    <w:tmpl w:val="01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46726"/>
    <w:multiLevelType w:val="hybridMultilevel"/>
    <w:tmpl w:val="BF8E2B4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BD418BA"/>
    <w:multiLevelType w:val="hybridMultilevel"/>
    <w:tmpl w:val="9A8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56A08"/>
    <w:multiLevelType w:val="hybridMultilevel"/>
    <w:tmpl w:val="E72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019D8"/>
    <w:multiLevelType w:val="hybridMultilevel"/>
    <w:tmpl w:val="69C4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D8A"/>
    <w:multiLevelType w:val="hybridMultilevel"/>
    <w:tmpl w:val="258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665B8"/>
    <w:multiLevelType w:val="hybridMultilevel"/>
    <w:tmpl w:val="036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20543"/>
    <w:multiLevelType w:val="hybridMultilevel"/>
    <w:tmpl w:val="1288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A86818"/>
    <w:multiLevelType w:val="hybridMultilevel"/>
    <w:tmpl w:val="3D5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62AD2"/>
    <w:multiLevelType w:val="hybridMultilevel"/>
    <w:tmpl w:val="E05E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54B27"/>
    <w:multiLevelType w:val="hybridMultilevel"/>
    <w:tmpl w:val="D2B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57FD0"/>
    <w:multiLevelType w:val="hybridMultilevel"/>
    <w:tmpl w:val="340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25041"/>
    <w:multiLevelType w:val="hybridMultilevel"/>
    <w:tmpl w:val="4CA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09869">
    <w:abstractNumId w:val="24"/>
  </w:num>
  <w:num w:numId="2" w16cid:durableId="1141001540">
    <w:abstractNumId w:val="34"/>
  </w:num>
  <w:num w:numId="3" w16cid:durableId="2033802908">
    <w:abstractNumId w:val="25"/>
  </w:num>
  <w:num w:numId="4" w16cid:durableId="1904946012">
    <w:abstractNumId w:val="18"/>
  </w:num>
  <w:num w:numId="5" w16cid:durableId="1738161683">
    <w:abstractNumId w:val="5"/>
  </w:num>
  <w:num w:numId="6" w16cid:durableId="292950294">
    <w:abstractNumId w:val="9"/>
  </w:num>
  <w:num w:numId="7" w16cid:durableId="742411705">
    <w:abstractNumId w:val="1"/>
  </w:num>
  <w:num w:numId="8" w16cid:durableId="786899203">
    <w:abstractNumId w:val="13"/>
  </w:num>
  <w:num w:numId="9" w16cid:durableId="979572954">
    <w:abstractNumId w:val="6"/>
  </w:num>
  <w:num w:numId="10" w16cid:durableId="154420545">
    <w:abstractNumId w:val="3"/>
  </w:num>
  <w:num w:numId="11" w16cid:durableId="1830906613">
    <w:abstractNumId w:val="4"/>
  </w:num>
  <w:num w:numId="12" w16cid:durableId="1999723413">
    <w:abstractNumId w:val="15"/>
  </w:num>
  <w:num w:numId="13" w16cid:durableId="2091921539">
    <w:abstractNumId w:val="23"/>
  </w:num>
  <w:num w:numId="14" w16cid:durableId="1190340200">
    <w:abstractNumId w:val="17"/>
  </w:num>
  <w:num w:numId="15" w16cid:durableId="9528545">
    <w:abstractNumId w:val="27"/>
  </w:num>
  <w:num w:numId="16" w16cid:durableId="1984969914">
    <w:abstractNumId w:val="33"/>
  </w:num>
  <w:num w:numId="17" w16cid:durableId="1493062460">
    <w:abstractNumId w:val="36"/>
  </w:num>
  <w:num w:numId="18" w16cid:durableId="1043335025">
    <w:abstractNumId w:val="12"/>
  </w:num>
  <w:num w:numId="19" w16cid:durableId="940454342">
    <w:abstractNumId w:val="14"/>
  </w:num>
  <w:num w:numId="20" w16cid:durableId="240913825">
    <w:abstractNumId w:val="7"/>
  </w:num>
  <w:num w:numId="21" w16cid:durableId="37752149">
    <w:abstractNumId w:val="21"/>
  </w:num>
  <w:num w:numId="22" w16cid:durableId="393741831">
    <w:abstractNumId w:val="39"/>
  </w:num>
  <w:num w:numId="23" w16cid:durableId="1450859966">
    <w:abstractNumId w:val="8"/>
  </w:num>
  <w:num w:numId="24" w16cid:durableId="1892229541">
    <w:abstractNumId w:val="37"/>
  </w:num>
  <w:num w:numId="25" w16cid:durableId="2101412932">
    <w:abstractNumId w:val="32"/>
  </w:num>
  <w:num w:numId="26" w16cid:durableId="1542479117">
    <w:abstractNumId w:val="2"/>
  </w:num>
  <w:num w:numId="27" w16cid:durableId="1754358138">
    <w:abstractNumId w:val="30"/>
  </w:num>
  <w:num w:numId="28" w16cid:durableId="383261880">
    <w:abstractNumId w:val="0"/>
  </w:num>
  <w:num w:numId="29" w16cid:durableId="920413874">
    <w:abstractNumId w:val="38"/>
  </w:num>
  <w:num w:numId="30" w16cid:durableId="1016151261">
    <w:abstractNumId w:val="20"/>
  </w:num>
  <w:num w:numId="31" w16cid:durableId="1855798172">
    <w:abstractNumId w:val="10"/>
  </w:num>
  <w:num w:numId="32" w16cid:durableId="1759210163">
    <w:abstractNumId w:val="19"/>
  </w:num>
  <w:num w:numId="33" w16cid:durableId="402607823">
    <w:abstractNumId w:val="16"/>
  </w:num>
  <w:num w:numId="34" w16cid:durableId="713894392">
    <w:abstractNumId w:val="28"/>
  </w:num>
  <w:num w:numId="35" w16cid:durableId="1183130772">
    <w:abstractNumId w:val="40"/>
  </w:num>
  <w:num w:numId="36" w16cid:durableId="427432492">
    <w:abstractNumId w:val="26"/>
  </w:num>
  <w:num w:numId="37" w16cid:durableId="969938680">
    <w:abstractNumId w:val="35"/>
  </w:num>
  <w:num w:numId="38" w16cid:durableId="1288703748">
    <w:abstractNumId w:val="31"/>
  </w:num>
  <w:num w:numId="39" w16cid:durableId="1841196293">
    <w:abstractNumId w:val="41"/>
  </w:num>
  <w:num w:numId="40" w16cid:durableId="656764607">
    <w:abstractNumId w:val="22"/>
  </w:num>
  <w:num w:numId="41" w16cid:durableId="1878547519">
    <w:abstractNumId w:val="11"/>
  </w:num>
  <w:num w:numId="42" w16cid:durableId="211859978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kwMqoFAN3O7lQtAAAA"/>
  </w:docVars>
  <w:rsids>
    <w:rsidRoot w:val="00B13DCB"/>
    <w:rsid w:val="00001C60"/>
    <w:rsid w:val="00005372"/>
    <w:rsid w:val="000152EE"/>
    <w:rsid w:val="000166B5"/>
    <w:rsid w:val="0001718E"/>
    <w:rsid w:val="0002065A"/>
    <w:rsid w:val="00020A43"/>
    <w:rsid w:val="000211D9"/>
    <w:rsid w:val="00023C6E"/>
    <w:rsid w:val="00024C76"/>
    <w:rsid w:val="00024E2B"/>
    <w:rsid w:val="00025EA1"/>
    <w:rsid w:val="00031594"/>
    <w:rsid w:val="00037A5F"/>
    <w:rsid w:val="0004327E"/>
    <w:rsid w:val="00046A6A"/>
    <w:rsid w:val="00046E22"/>
    <w:rsid w:val="000476DB"/>
    <w:rsid w:val="00047C3F"/>
    <w:rsid w:val="00050C1F"/>
    <w:rsid w:val="000521E0"/>
    <w:rsid w:val="00055344"/>
    <w:rsid w:val="00055568"/>
    <w:rsid w:val="00056F6F"/>
    <w:rsid w:val="0006010B"/>
    <w:rsid w:val="000644A3"/>
    <w:rsid w:val="0006491C"/>
    <w:rsid w:val="00067A4D"/>
    <w:rsid w:val="000706DE"/>
    <w:rsid w:val="000719F7"/>
    <w:rsid w:val="00071BB5"/>
    <w:rsid w:val="000720BC"/>
    <w:rsid w:val="0007338A"/>
    <w:rsid w:val="000758BD"/>
    <w:rsid w:val="00080938"/>
    <w:rsid w:val="00085F25"/>
    <w:rsid w:val="00086918"/>
    <w:rsid w:val="00095AEB"/>
    <w:rsid w:val="000A0912"/>
    <w:rsid w:val="000A1947"/>
    <w:rsid w:val="000A306E"/>
    <w:rsid w:val="000A6392"/>
    <w:rsid w:val="000A78B3"/>
    <w:rsid w:val="000B1551"/>
    <w:rsid w:val="000B237F"/>
    <w:rsid w:val="000B4064"/>
    <w:rsid w:val="000B41A8"/>
    <w:rsid w:val="000B5389"/>
    <w:rsid w:val="000B5EF0"/>
    <w:rsid w:val="000C0AD7"/>
    <w:rsid w:val="000C2348"/>
    <w:rsid w:val="000C3A4C"/>
    <w:rsid w:val="000C4B35"/>
    <w:rsid w:val="000C5736"/>
    <w:rsid w:val="000D0F82"/>
    <w:rsid w:val="000E2B78"/>
    <w:rsid w:val="000E32C6"/>
    <w:rsid w:val="000E5EB4"/>
    <w:rsid w:val="000E7BE4"/>
    <w:rsid w:val="000F13E7"/>
    <w:rsid w:val="000F21BD"/>
    <w:rsid w:val="000F78FD"/>
    <w:rsid w:val="001018CD"/>
    <w:rsid w:val="00102ABE"/>
    <w:rsid w:val="00110C76"/>
    <w:rsid w:val="00111DB6"/>
    <w:rsid w:val="001130EA"/>
    <w:rsid w:val="00114EB2"/>
    <w:rsid w:val="001161AF"/>
    <w:rsid w:val="0011693F"/>
    <w:rsid w:val="0012142B"/>
    <w:rsid w:val="00122D20"/>
    <w:rsid w:val="00125FC1"/>
    <w:rsid w:val="001275BB"/>
    <w:rsid w:val="00130929"/>
    <w:rsid w:val="00133748"/>
    <w:rsid w:val="00134986"/>
    <w:rsid w:val="00135BA4"/>
    <w:rsid w:val="00144160"/>
    <w:rsid w:val="00145705"/>
    <w:rsid w:val="00145C0B"/>
    <w:rsid w:val="001559F7"/>
    <w:rsid w:val="00160521"/>
    <w:rsid w:val="001607C5"/>
    <w:rsid w:val="00161683"/>
    <w:rsid w:val="0016302E"/>
    <w:rsid w:val="001653AD"/>
    <w:rsid w:val="00165D34"/>
    <w:rsid w:val="0016630D"/>
    <w:rsid w:val="00167564"/>
    <w:rsid w:val="00170621"/>
    <w:rsid w:val="00171E66"/>
    <w:rsid w:val="00171EB7"/>
    <w:rsid w:val="0017468F"/>
    <w:rsid w:val="00177805"/>
    <w:rsid w:val="00177DF1"/>
    <w:rsid w:val="001815B5"/>
    <w:rsid w:val="00182512"/>
    <w:rsid w:val="0018310F"/>
    <w:rsid w:val="0018331C"/>
    <w:rsid w:val="001836A7"/>
    <w:rsid w:val="00195A9F"/>
    <w:rsid w:val="00196C6D"/>
    <w:rsid w:val="001A0774"/>
    <w:rsid w:val="001A2B67"/>
    <w:rsid w:val="001A45EE"/>
    <w:rsid w:val="001B2595"/>
    <w:rsid w:val="001B433E"/>
    <w:rsid w:val="001B691F"/>
    <w:rsid w:val="001B6F5B"/>
    <w:rsid w:val="001C2D02"/>
    <w:rsid w:val="001C2E2C"/>
    <w:rsid w:val="001D053F"/>
    <w:rsid w:val="001D0FFD"/>
    <w:rsid w:val="001D1E8F"/>
    <w:rsid w:val="001D445E"/>
    <w:rsid w:val="001D77DA"/>
    <w:rsid w:val="001E1041"/>
    <w:rsid w:val="001E1840"/>
    <w:rsid w:val="001E2FDA"/>
    <w:rsid w:val="001E4ACC"/>
    <w:rsid w:val="001E59FD"/>
    <w:rsid w:val="001E71D7"/>
    <w:rsid w:val="001F062D"/>
    <w:rsid w:val="001F15F3"/>
    <w:rsid w:val="001F32F7"/>
    <w:rsid w:val="00201C73"/>
    <w:rsid w:val="00203E3A"/>
    <w:rsid w:val="00203FB9"/>
    <w:rsid w:val="0020599E"/>
    <w:rsid w:val="00206659"/>
    <w:rsid w:val="00215017"/>
    <w:rsid w:val="00215C41"/>
    <w:rsid w:val="00217531"/>
    <w:rsid w:val="0022081F"/>
    <w:rsid w:val="002233A6"/>
    <w:rsid w:val="00223C6C"/>
    <w:rsid w:val="002248BC"/>
    <w:rsid w:val="002252AA"/>
    <w:rsid w:val="0022552A"/>
    <w:rsid w:val="00225B1B"/>
    <w:rsid w:val="00227619"/>
    <w:rsid w:val="00230C2A"/>
    <w:rsid w:val="0023219E"/>
    <w:rsid w:val="00232469"/>
    <w:rsid w:val="002324AD"/>
    <w:rsid w:val="00236B9C"/>
    <w:rsid w:val="00236F2E"/>
    <w:rsid w:val="002435D8"/>
    <w:rsid w:val="002439AB"/>
    <w:rsid w:val="00245898"/>
    <w:rsid w:val="0024767B"/>
    <w:rsid w:val="00253131"/>
    <w:rsid w:val="00260EA8"/>
    <w:rsid w:val="002633D2"/>
    <w:rsid w:val="0026485B"/>
    <w:rsid w:val="00270A32"/>
    <w:rsid w:val="00272FEC"/>
    <w:rsid w:val="002745C1"/>
    <w:rsid w:val="0027586C"/>
    <w:rsid w:val="00280170"/>
    <w:rsid w:val="00284CBA"/>
    <w:rsid w:val="0028757C"/>
    <w:rsid w:val="002912CD"/>
    <w:rsid w:val="002930A6"/>
    <w:rsid w:val="0029492B"/>
    <w:rsid w:val="00295C63"/>
    <w:rsid w:val="002A1252"/>
    <w:rsid w:val="002A28CB"/>
    <w:rsid w:val="002A54EA"/>
    <w:rsid w:val="002B0A89"/>
    <w:rsid w:val="002B12C1"/>
    <w:rsid w:val="002B1370"/>
    <w:rsid w:val="002B69D8"/>
    <w:rsid w:val="002C1660"/>
    <w:rsid w:val="002C36F8"/>
    <w:rsid w:val="002C41BF"/>
    <w:rsid w:val="002C5213"/>
    <w:rsid w:val="002C7FEF"/>
    <w:rsid w:val="002D164B"/>
    <w:rsid w:val="002D28A1"/>
    <w:rsid w:val="002D2C83"/>
    <w:rsid w:val="002D571E"/>
    <w:rsid w:val="002D686B"/>
    <w:rsid w:val="002E05E8"/>
    <w:rsid w:val="002E16AA"/>
    <w:rsid w:val="002E248C"/>
    <w:rsid w:val="002E5338"/>
    <w:rsid w:val="002F1025"/>
    <w:rsid w:val="002F37D9"/>
    <w:rsid w:val="0030430F"/>
    <w:rsid w:val="00305659"/>
    <w:rsid w:val="00306DD5"/>
    <w:rsid w:val="003104BA"/>
    <w:rsid w:val="00311F0B"/>
    <w:rsid w:val="00312663"/>
    <w:rsid w:val="003127F8"/>
    <w:rsid w:val="003133A9"/>
    <w:rsid w:val="0031625B"/>
    <w:rsid w:val="00317B8A"/>
    <w:rsid w:val="00323A87"/>
    <w:rsid w:val="0032451D"/>
    <w:rsid w:val="0032698F"/>
    <w:rsid w:val="0033223D"/>
    <w:rsid w:val="003340F9"/>
    <w:rsid w:val="00335435"/>
    <w:rsid w:val="00335458"/>
    <w:rsid w:val="00336A4D"/>
    <w:rsid w:val="003377FC"/>
    <w:rsid w:val="00340E9A"/>
    <w:rsid w:val="00342154"/>
    <w:rsid w:val="00342AD4"/>
    <w:rsid w:val="00343450"/>
    <w:rsid w:val="00343976"/>
    <w:rsid w:val="00345139"/>
    <w:rsid w:val="0035541B"/>
    <w:rsid w:val="0035694A"/>
    <w:rsid w:val="00360266"/>
    <w:rsid w:val="00360FC3"/>
    <w:rsid w:val="003613BD"/>
    <w:rsid w:val="0036152B"/>
    <w:rsid w:val="00361698"/>
    <w:rsid w:val="00363C96"/>
    <w:rsid w:val="003645EC"/>
    <w:rsid w:val="0036634E"/>
    <w:rsid w:val="003745EC"/>
    <w:rsid w:val="00375521"/>
    <w:rsid w:val="003758B2"/>
    <w:rsid w:val="003760FE"/>
    <w:rsid w:val="00377588"/>
    <w:rsid w:val="00380212"/>
    <w:rsid w:val="0038082C"/>
    <w:rsid w:val="00382169"/>
    <w:rsid w:val="003826DF"/>
    <w:rsid w:val="00382757"/>
    <w:rsid w:val="00385035"/>
    <w:rsid w:val="003915DD"/>
    <w:rsid w:val="0039249D"/>
    <w:rsid w:val="003A2F28"/>
    <w:rsid w:val="003A69BF"/>
    <w:rsid w:val="003B0B60"/>
    <w:rsid w:val="003B2259"/>
    <w:rsid w:val="003B4434"/>
    <w:rsid w:val="003B4A79"/>
    <w:rsid w:val="003B4B6E"/>
    <w:rsid w:val="003B68C0"/>
    <w:rsid w:val="003B7A01"/>
    <w:rsid w:val="003C03CB"/>
    <w:rsid w:val="003C3E18"/>
    <w:rsid w:val="003C43B4"/>
    <w:rsid w:val="003D2AEC"/>
    <w:rsid w:val="003D7831"/>
    <w:rsid w:val="003E14D1"/>
    <w:rsid w:val="003E288A"/>
    <w:rsid w:val="003E343B"/>
    <w:rsid w:val="003E4910"/>
    <w:rsid w:val="003E4F1E"/>
    <w:rsid w:val="003E504A"/>
    <w:rsid w:val="003E514D"/>
    <w:rsid w:val="003E61E9"/>
    <w:rsid w:val="003E733B"/>
    <w:rsid w:val="003F08FF"/>
    <w:rsid w:val="003F0A11"/>
    <w:rsid w:val="003F117E"/>
    <w:rsid w:val="003F2A9C"/>
    <w:rsid w:val="003F59AB"/>
    <w:rsid w:val="00402098"/>
    <w:rsid w:val="00407E13"/>
    <w:rsid w:val="00410598"/>
    <w:rsid w:val="0041330C"/>
    <w:rsid w:val="00414755"/>
    <w:rsid w:val="004178FA"/>
    <w:rsid w:val="004234CC"/>
    <w:rsid w:val="00425175"/>
    <w:rsid w:val="0042578B"/>
    <w:rsid w:val="00432D35"/>
    <w:rsid w:val="00434702"/>
    <w:rsid w:val="004375CE"/>
    <w:rsid w:val="00441FF8"/>
    <w:rsid w:val="004450DE"/>
    <w:rsid w:val="00445F23"/>
    <w:rsid w:val="00447470"/>
    <w:rsid w:val="00447C3E"/>
    <w:rsid w:val="00452E7D"/>
    <w:rsid w:val="00453AE2"/>
    <w:rsid w:val="0045794A"/>
    <w:rsid w:val="00457C02"/>
    <w:rsid w:val="00461493"/>
    <w:rsid w:val="00461B9C"/>
    <w:rsid w:val="00461D45"/>
    <w:rsid w:val="00462CA7"/>
    <w:rsid w:val="00462F08"/>
    <w:rsid w:val="004642FB"/>
    <w:rsid w:val="00465651"/>
    <w:rsid w:val="0046734D"/>
    <w:rsid w:val="004679E9"/>
    <w:rsid w:val="00472DC5"/>
    <w:rsid w:val="00472F88"/>
    <w:rsid w:val="00474025"/>
    <w:rsid w:val="0047514C"/>
    <w:rsid w:val="00475D23"/>
    <w:rsid w:val="004764CB"/>
    <w:rsid w:val="00476BEF"/>
    <w:rsid w:val="00477D5B"/>
    <w:rsid w:val="00482FCE"/>
    <w:rsid w:val="004857A3"/>
    <w:rsid w:val="00485D64"/>
    <w:rsid w:val="00485F57"/>
    <w:rsid w:val="00491026"/>
    <w:rsid w:val="0049580E"/>
    <w:rsid w:val="00497749"/>
    <w:rsid w:val="00497D34"/>
    <w:rsid w:val="00497F14"/>
    <w:rsid w:val="004A0989"/>
    <w:rsid w:val="004A1E58"/>
    <w:rsid w:val="004A4ECC"/>
    <w:rsid w:val="004A62FC"/>
    <w:rsid w:val="004A6B80"/>
    <w:rsid w:val="004B0EB9"/>
    <w:rsid w:val="004B4915"/>
    <w:rsid w:val="004B54DD"/>
    <w:rsid w:val="004B5593"/>
    <w:rsid w:val="004B7A31"/>
    <w:rsid w:val="004B7DE1"/>
    <w:rsid w:val="004C0703"/>
    <w:rsid w:val="004C497C"/>
    <w:rsid w:val="004C5D6B"/>
    <w:rsid w:val="004D2B11"/>
    <w:rsid w:val="004E0030"/>
    <w:rsid w:val="004E134A"/>
    <w:rsid w:val="004E18F9"/>
    <w:rsid w:val="004E36C0"/>
    <w:rsid w:val="00501C01"/>
    <w:rsid w:val="00505759"/>
    <w:rsid w:val="00522476"/>
    <w:rsid w:val="00522C14"/>
    <w:rsid w:val="00523D44"/>
    <w:rsid w:val="00524494"/>
    <w:rsid w:val="0052650E"/>
    <w:rsid w:val="005269AD"/>
    <w:rsid w:val="00530CDD"/>
    <w:rsid w:val="005333B7"/>
    <w:rsid w:val="005371AC"/>
    <w:rsid w:val="00537216"/>
    <w:rsid w:val="00537A18"/>
    <w:rsid w:val="00540BBF"/>
    <w:rsid w:val="00543B82"/>
    <w:rsid w:val="0054520D"/>
    <w:rsid w:val="005458F2"/>
    <w:rsid w:val="00545BE7"/>
    <w:rsid w:val="00550620"/>
    <w:rsid w:val="005548DD"/>
    <w:rsid w:val="00554C28"/>
    <w:rsid w:val="0055587B"/>
    <w:rsid w:val="00555A8B"/>
    <w:rsid w:val="0056020A"/>
    <w:rsid w:val="00562433"/>
    <w:rsid w:val="00564009"/>
    <w:rsid w:val="00564D05"/>
    <w:rsid w:val="00566319"/>
    <w:rsid w:val="005664E0"/>
    <w:rsid w:val="00570A08"/>
    <w:rsid w:val="00573115"/>
    <w:rsid w:val="005753C2"/>
    <w:rsid w:val="0057618B"/>
    <w:rsid w:val="005800BB"/>
    <w:rsid w:val="005813FD"/>
    <w:rsid w:val="005819C1"/>
    <w:rsid w:val="00584CFE"/>
    <w:rsid w:val="00587AF6"/>
    <w:rsid w:val="00587DB5"/>
    <w:rsid w:val="00590030"/>
    <w:rsid w:val="005903F5"/>
    <w:rsid w:val="005906B2"/>
    <w:rsid w:val="00591934"/>
    <w:rsid w:val="00592AFD"/>
    <w:rsid w:val="00592D81"/>
    <w:rsid w:val="0059443E"/>
    <w:rsid w:val="00595AFB"/>
    <w:rsid w:val="005973DB"/>
    <w:rsid w:val="00597B96"/>
    <w:rsid w:val="005A013F"/>
    <w:rsid w:val="005A0D56"/>
    <w:rsid w:val="005A21E0"/>
    <w:rsid w:val="005A22B8"/>
    <w:rsid w:val="005A3363"/>
    <w:rsid w:val="005A4DFA"/>
    <w:rsid w:val="005A789D"/>
    <w:rsid w:val="005B0ABE"/>
    <w:rsid w:val="005B12FF"/>
    <w:rsid w:val="005B1ED0"/>
    <w:rsid w:val="005B24FA"/>
    <w:rsid w:val="005B2C91"/>
    <w:rsid w:val="005B37B7"/>
    <w:rsid w:val="005B3973"/>
    <w:rsid w:val="005B413C"/>
    <w:rsid w:val="005B6F0A"/>
    <w:rsid w:val="005B7E52"/>
    <w:rsid w:val="005C085F"/>
    <w:rsid w:val="005C2401"/>
    <w:rsid w:val="005C241F"/>
    <w:rsid w:val="005C24E0"/>
    <w:rsid w:val="005C2BE0"/>
    <w:rsid w:val="005C3242"/>
    <w:rsid w:val="005C545F"/>
    <w:rsid w:val="005D0DAF"/>
    <w:rsid w:val="005D2FE5"/>
    <w:rsid w:val="005D3113"/>
    <w:rsid w:val="005D3F01"/>
    <w:rsid w:val="005E2547"/>
    <w:rsid w:val="005E4229"/>
    <w:rsid w:val="005E501B"/>
    <w:rsid w:val="005E54F9"/>
    <w:rsid w:val="0060105A"/>
    <w:rsid w:val="00601DE8"/>
    <w:rsid w:val="006021CC"/>
    <w:rsid w:val="0061191C"/>
    <w:rsid w:val="0061789A"/>
    <w:rsid w:val="00620436"/>
    <w:rsid w:val="00622352"/>
    <w:rsid w:val="00622EE8"/>
    <w:rsid w:val="00623FC6"/>
    <w:rsid w:val="00624195"/>
    <w:rsid w:val="0062494F"/>
    <w:rsid w:val="006269E0"/>
    <w:rsid w:val="00631A66"/>
    <w:rsid w:val="00636667"/>
    <w:rsid w:val="00636C3F"/>
    <w:rsid w:val="00642326"/>
    <w:rsid w:val="00651C56"/>
    <w:rsid w:val="00652F23"/>
    <w:rsid w:val="00654E28"/>
    <w:rsid w:val="006611B3"/>
    <w:rsid w:val="00664F52"/>
    <w:rsid w:val="00665909"/>
    <w:rsid w:val="00666179"/>
    <w:rsid w:val="0066742B"/>
    <w:rsid w:val="00671752"/>
    <w:rsid w:val="0067239F"/>
    <w:rsid w:val="00672C9F"/>
    <w:rsid w:val="00673766"/>
    <w:rsid w:val="00674F15"/>
    <w:rsid w:val="00676020"/>
    <w:rsid w:val="00676E00"/>
    <w:rsid w:val="00677C68"/>
    <w:rsid w:val="00681BE6"/>
    <w:rsid w:val="0068287F"/>
    <w:rsid w:val="00687500"/>
    <w:rsid w:val="00690CED"/>
    <w:rsid w:val="00691E93"/>
    <w:rsid w:val="00692905"/>
    <w:rsid w:val="00696D3A"/>
    <w:rsid w:val="00697F54"/>
    <w:rsid w:val="006A01D1"/>
    <w:rsid w:val="006A1C29"/>
    <w:rsid w:val="006A5452"/>
    <w:rsid w:val="006B3D3B"/>
    <w:rsid w:val="006C10E6"/>
    <w:rsid w:val="006C1AFE"/>
    <w:rsid w:val="006C2244"/>
    <w:rsid w:val="006C3382"/>
    <w:rsid w:val="006D194E"/>
    <w:rsid w:val="006D2A89"/>
    <w:rsid w:val="006D2B34"/>
    <w:rsid w:val="006D6E79"/>
    <w:rsid w:val="006D762E"/>
    <w:rsid w:val="006E7E03"/>
    <w:rsid w:val="006F057A"/>
    <w:rsid w:val="006F48D4"/>
    <w:rsid w:val="006F4D11"/>
    <w:rsid w:val="006F5CB8"/>
    <w:rsid w:val="006F6029"/>
    <w:rsid w:val="00701902"/>
    <w:rsid w:val="00701E27"/>
    <w:rsid w:val="00704731"/>
    <w:rsid w:val="00705766"/>
    <w:rsid w:val="0070719C"/>
    <w:rsid w:val="00710C9E"/>
    <w:rsid w:val="007129F1"/>
    <w:rsid w:val="007137A3"/>
    <w:rsid w:val="00714D96"/>
    <w:rsid w:val="00715167"/>
    <w:rsid w:val="0071654B"/>
    <w:rsid w:val="007243A7"/>
    <w:rsid w:val="00725659"/>
    <w:rsid w:val="0072735B"/>
    <w:rsid w:val="00727EEF"/>
    <w:rsid w:val="00732AA1"/>
    <w:rsid w:val="007361A1"/>
    <w:rsid w:val="00742901"/>
    <w:rsid w:val="007435B1"/>
    <w:rsid w:val="00747B18"/>
    <w:rsid w:val="00747B9D"/>
    <w:rsid w:val="007529E5"/>
    <w:rsid w:val="007534B3"/>
    <w:rsid w:val="00755033"/>
    <w:rsid w:val="00763AFD"/>
    <w:rsid w:val="0076781E"/>
    <w:rsid w:val="00767BF7"/>
    <w:rsid w:val="007712BB"/>
    <w:rsid w:val="007745A9"/>
    <w:rsid w:val="00774ACA"/>
    <w:rsid w:val="00777E99"/>
    <w:rsid w:val="00780AE1"/>
    <w:rsid w:val="007860B9"/>
    <w:rsid w:val="0078739B"/>
    <w:rsid w:val="00790F5C"/>
    <w:rsid w:val="0079482F"/>
    <w:rsid w:val="00796AD9"/>
    <w:rsid w:val="007A14C0"/>
    <w:rsid w:val="007A1F02"/>
    <w:rsid w:val="007A2895"/>
    <w:rsid w:val="007A35D2"/>
    <w:rsid w:val="007A469A"/>
    <w:rsid w:val="007A6C8C"/>
    <w:rsid w:val="007B0030"/>
    <w:rsid w:val="007B0655"/>
    <w:rsid w:val="007B09B2"/>
    <w:rsid w:val="007B1BDD"/>
    <w:rsid w:val="007B4525"/>
    <w:rsid w:val="007B4E25"/>
    <w:rsid w:val="007B6B4F"/>
    <w:rsid w:val="007B7CA0"/>
    <w:rsid w:val="007B7F76"/>
    <w:rsid w:val="007C02A0"/>
    <w:rsid w:val="007C3934"/>
    <w:rsid w:val="007C3E2A"/>
    <w:rsid w:val="007C46C0"/>
    <w:rsid w:val="007D1993"/>
    <w:rsid w:val="007D5933"/>
    <w:rsid w:val="007E3EC3"/>
    <w:rsid w:val="007E4A10"/>
    <w:rsid w:val="007E4F3F"/>
    <w:rsid w:val="007E51B0"/>
    <w:rsid w:val="007E7CD5"/>
    <w:rsid w:val="007F1402"/>
    <w:rsid w:val="007F5148"/>
    <w:rsid w:val="007F7DE6"/>
    <w:rsid w:val="00800223"/>
    <w:rsid w:val="0080037D"/>
    <w:rsid w:val="00801768"/>
    <w:rsid w:val="00806ED8"/>
    <w:rsid w:val="00807E2C"/>
    <w:rsid w:val="0081577C"/>
    <w:rsid w:val="00815DE4"/>
    <w:rsid w:val="008204DF"/>
    <w:rsid w:val="00823825"/>
    <w:rsid w:val="00823A26"/>
    <w:rsid w:val="008257DF"/>
    <w:rsid w:val="00826F6B"/>
    <w:rsid w:val="00833F03"/>
    <w:rsid w:val="00835603"/>
    <w:rsid w:val="00836054"/>
    <w:rsid w:val="008449D5"/>
    <w:rsid w:val="008452C1"/>
    <w:rsid w:val="00852632"/>
    <w:rsid w:val="0085498B"/>
    <w:rsid w:val="00860845"/>
    <w:rsid w:val="00864BA2"/>
    <w:rsid w:val="00865BDB"/>
    <w:rsid w:val="00870A32"/>
    <w:rsid w:val="00872527"/>
    <w:rsid w:val="00872959"/>
    <w:rsid w:val="008738AA"/>
    <w:rsid w:val="00875FBB"/>
    <w:rsid w:val="00881055"/>
    <w:rsid w:val="00882136"/>
    <w:rsid w:val="00883672"/>
    <w:rsid w:val="00885106"/>
    <w:rsid w:val="00890353"/>
    <w:rsid w:val="00890BA4"/>
    <w:rsid w:val="00891D01"/>
    <w:rsid w:val="00892FCA"/>
    <w:rsid w:val="008965D7"/>
    <w:rsid w:val="0089704E"/>
    <w:rsid w:val="008A113E"/>
    <w:rsid w:val="008A2A8B"/>
    <w:rsid w:val="008A63A3"/>
    <w:rsid w:val="008A774F"/>
    <w:rsid w:val="008A7F33"/>
    <w:rsid w:val="008B0F87"/>
    <w:rsid w:val="008C1EAA"/>
    <w:rsid w:val="008C4F35"/>
    <w:rsid w:val="008C6D49"/>
    <w:rsid w:val="008D049D"/>
    <w:rsid w:val="008D2A4C"/>
    <w:rsid w:val="008D3034"/>
    <w:rsid w:val="008D39A2"/>
    <w:rsid w:val="008E1F03"/>
    <w:rsid w:val="008E399B"/>
    <w:rsid w:val="008E3BB5"/>
    <w:rsid w:val="008E753C"/>
    <w:rsid w:val="008F3051"/>
    <w:rsid w:val="008F61A0"/>
    <w:rsid w:val="008F76DA"/>
    <w:rsid w:val="008F7F25"/>
    <w:rsid w:val="00900256"/>
    <w:rsid w:val="0090287D"/>
    <w:rsid w:val="009033FD"/>
    <w:rsid w:val="00903F64"/>
    <w:rsid w:val="009044C7"/>
    <w:rsid w:val="009071D2"/>
    <w:rsid w:val="0091136E"/>
    <w:rsid w:val="0091278D"/>
    <w:rsid w:val="009153E3"/>
    <w:rsid w:val="00917B34"/>
    <w:rsid w:val="00922413"/>
    <w:rsid w:val="00923D38"/>
    <w:rsid w:val="0092622A"/>
    <w:rsid w:val="00926528"/>
    <w:rsid w:val="00927990"/>
    <w:rsid w:val="00930C85"/>
    <w:rsid w:val="0093400F"/>
    <w:rsid w:val="009353C4"/>
    <w:rsid w:val="00941CA3"/>
    <w:rsid w:val="00945EFA"/>
    <w:rsid w:val="00946C71"/>
    <w:rsid w:val="009610E1"/>
    <w:rsid w:val="00962FD5"/>
    <w:rsid w:val="00963413"/>
    <w:rsid w:val="00963BCE"/>
    <w:rsid w:val="00967475"/>
    <w:rsid w:val="00967897"/>
    <w:rsid w:val="00967B9E"/>
    <w:rsid w:val="0097088B"/>
    <w:rsid w:val="00970C21"/>
    <w:rsid w:val="00970DA8"/>
    <w:rsid w:val="00973B07"/>
    <w:rsid w:val="00976B62"/>
    <w:rsid w:val="009776B8"/>
    <w:rsid w:val="0097772D"/>
    <w:rsid w:val="00980309"/>
    <w:rsid w:val="00982104"/>
    <w:rsid w:val="00982B42"/>
    <w:rsid w:val="00982B99"/>
    <w:rsid w:val="0098637F"/>
    <w:rsid w:val="0098673B"/>
    <w:rsid w:val="0099558B"/>
    <w:rsid w:val="00995E23"/>
    <w:rsid w:val="009970FF"/>
    <w:rsid w:val="009A0CF3"/>
    <w:rsid w:val="009A101D"/>
    <w:rsid w:val="009A317F"/>
    <w:rsid w:val="009A383A"/>
    <w:rsid w:val="009A53DB"/>
    <w:rsid w:val="009A65D3"/>
    <w:rsid w:val="009B10B8"/>
    <w:rsid w:val="009B4005"/>
    <w:rsid w:val="009B493F"/>
    <w:rsid w:val="009C203D"/>
    <w:rsid w:val="009C2288"/>
    <w:rsid w:val="009C7CB0"/>
    <w:rsid w:val="009D0459"/>
    <w:rsid w:val="009D3566"/>
    <w:rsid w:val="009D4383"/>
    <w:rsid w:val="009E0443"/>
    <w:rsid w:val="009E2E7D"/>
    <w:rsid w:val="009E33A0"/>
    <w:rsid w:val="009E50D0"/>
    <w:rsid w:val="009E5E0E"/>
    <w:rsid w:val="009E6333"/>
    <w:rsid w:val="009E70F2"/>
    <w:rsid w:val="009E72A8"/>
    <w:rsid w:val="009F60C7"/>
    <w:rsid w:val="00A00FD7"/>
    <w:rsid w:val="00A02210"/>
    <w:rsid w:val="00A025C0"/>
    <w:rsid w:val="00A068F0"/>
    <w:rsid w:val="00A069ED"/>
    <w:rsid w:val="00A1026B"/>
    <w:rsid w:val="00A13BBE"/>
    <w:rsid w:val="00A15062"/>
    <w:rsid w:val="00A156C0"/>
    <w:rsid w:val="00A171A5"/>
    <w:rsid w:val="00A20DC5"/>
    <w:rsid w:val="00A23939"/>
    <w:rsid w:val="00A26180"/>
    <w:rsid w:val="00A278A5"/>
    <w:rsid w:val="00A35014"/>
    <w:rsid w:val="00A37EAA"/>
    <w:rsid w:val="00A405DE"/>
    <w:rsid w:val="00A418C8"/>
    <w:rsid w:val="00A41F01"/>
    <w:rsid w:val="00A45CDA"/>
    <w:rsid w:val="00A50305"/>
    <w:rsid w:val="00A50364"/>
    <w:rsid w:val="00A53062"/>
    <w:rsid w:val="00A53DA7"/>
    <w:rsid w:val="00A54A56"/>
    <w:rsid w:val="00A55B4A"/>
    <w:rsid w:val="00A60982"/>
    <w:rsid w:val="00A64EDE"/>
    <w:rsid w:val="00A65323"/>
    <w:rsid w:val="00A710E5"/>
    <w:rsid w:val="00A72E6B"/>
    <w:rsid w:val="00A74070"/>
    <w:rsid w:val="00A85CFD"/>
    <w:rsid w:val="00A9205A"/>
    <w:rsid w:val="00A93909"/>
    <w:rsid w:val="00A96DF9"/>
    <w:rsid w:val="00A97C7D"/>
    <w:rsid w:val="00AA12CD"/>
    <w:rsid w:val="00AA4645"/>
    <w:rsid w:val="00AA613B"/>
    <w:rsid w:val="00AA6C68"/>
    <w:rsid w:val="00AB1BE4"/>
    <w:rsid w:val="00AB39EE"/>
    <w:rsid w:val="00AB3B81"/>
    <w:rsid w:val="00AB5C6B"/>
    <w:rsid w:val="00AC01C3"/>
    <w:rsid w:val="00AC0E31"/>
    <w:rsid w:val="00AD41B2"/>
    <w:rsid w:val="00AD48CE"/>
    <w:rsid w:val="00AD70B5"/>
    <w:rsid w:val="00AE0AD1"/>
    <w:rsid w:val="00AE4178"/>
    <w:rsid w:val="00AF2E86"/>
    <w:rsid w:val="00AF49EF"/>
    <w:rsid w:val="00AF59B6"/>
    <w:rsid w:val="00B0079E"/>
    <w:rsid w:val="00B00A13"/>
    <w:rsid w:val="00B013EA"/>
    <w:rsid w:val="00B05F1B"/>
    <w:rsid w:val="00B06AA9"/>
    <w:rsid w:val="00B06D82"/>
    <w:rsid w:val="00B077C1"/>
    <w:rsid w:val="00B10A22"/>
    <w:rsid w:val="00B11539"/>
    <w:rsid w:val="00B13D22"/>
    <w:rsid w:val="00B13DCB"/>
    <w:rsid w:val="00B15C86"/>
    <w:rsid w:val="00B2042D"/>
    <w:rsid w:val="00B21307"/>
    <w:rsid w:val="00B21C5A"/>
    <w:rsid w:val="00B22697"/>
    <w:rsid w:val="00B22EDA"/>
    <w:rsid w:val="00B25DF9"/>
    <w:rsid w:val="00B26BA4"/>
    <w:rsid w:val="00B30D63"/>
    <w:rsid w:val="00B31D97"/>
    <w:rsid w:val="00B427F5"/>
    <w:rsid w:val="00B4696A"/>
    <w:rsid w:val="00B531D8"/>
    <w:rsid w:val="00B541AE"/>
    <w:rsid w:val="00B55953"/>
    <w:rsid w:val="00B570BC"/>
    <w:rsid w:val="00B605D1"/>
    <w:rsid w:val="00B63856"/>
    <w:rsid w:val="00B63EEF"/>
    <w:rsid w:val="00B65D51"/>
    <w:rsid w:val="00B707E2"/>
    <w:rsid w:val="00B712BA"/>
    <w:rsid w:val="00B876ED"/>
    <w:rsid w:val="00B879BF"/>
    <w:rsid w:val="00B90F71"/>
    <w:rsid w:val="00B91C33"/>
    <w:rsid w:val="00B920EC"/>
    <w:rsid w:val="00B92B51"/>
    <w:rsid w:val="00B94D50"/>
    <w:rsid w:val="00B955D1"/>
    <w:rsid w:val="00B97467"/>
    <w:rsid w:val="00B97777"/>
    <w:rsid w:val="00BA19A5"/>
    <w:rsid w:val="00BA4A19"/>
    <w:rsid w:val="00BA6F37"/>
    <w:rsid w:val="00BB330A"/>
    <w:rsid w:val="00BB5BAB"/>
    <w:rsid w:val="00BC2723"/>
    <w:rsid w:val="00BC38EF"/>
    <w:rsid w:val="00BC4C89"/>
    <w:rsid w:val="00BC78A2"/>
    <w:rsid w:val="00BD0CC5"/>
    <w:rsid w:val="00BD38E4"/>
    <w:rsid w:val="00BD7A95"/>
    <w:rsid w:val="00BE483E"/>
    <w:rsid w:val="00BE5FA1"/>
    <w:rsid w:val="00BF57D6"/>
    <w:rsid w:val="00BF5C20"/>
    <w:rsid w:val="00BF6772"/>
    <w:rsid w:val="00C03B82"/>
    <w:rsid w:val="00C067B2"/>
    <w:rsid w:val="00C10D48"/>
    <w:rsid w:val="00C11960"/>
    <w:rsid w:val="00C12214"/>
    <w:rsid w:val="00C12471"/>
    <w:rsid w:val="00C13A32"/>
    <w:rsid w:val="00C17074"/>
    <w:rsid w:val="00C226CE"/>
    <w:rsid w:val="00C233D6"/>
    <w:rsid w:val="00C23AA8"/>
    <w:rsid w:val="00C276B7"/>
    <w:rsid w:val="00C3213D"/>
    <w:rsid w:val="00C34B0F"/>
    <w:rsid w:val="00C36A78"/>
    <w:rsid w:val="00C36FC6"/>
    <w:rsid w:val="00C37EE5"/>
    <w:rsid w:val="00C42F24"/>
    <w:rsid w:val="00C43627"/>
    <w:rsid w:val="00C44B49"/>
    <w:rsid w:val="00C515E1"/>
    <w:rsid w:val="00C51ACF"/>
    <w:rsid w:val="00C60025"/>
    <w:rsid w:val="00C623A2"/>
    <w:rsid w:val="00C63ABF"/>
    <w:rsid w:val="00C7227B"/>
    <w:rsid w:val="00C723E3"/>
    <w:rsid w:val="00C74175"/>
    <w:rsid w:val="00C758F1"/>
    <w:rsid w:val="00C76C60"/>
    <w:rsid w:val="00C76F12"/>
    <w:rsid w:val="00C83465"/>
    <w:rsid w:val="00C84F72"/>
    <w:rsid w:val="00C852C0"/>
    <w:rsid w:val="00C9180F"/>
    <w:rsid w:val="00C92F6F"/>
    <w:rsid w:val="00C93C64"/>
    <w:rsid w:val="00C93EA6"/>
    <w:rsid w:val="00C97958"/>
    <w:rsid w:val="00C97FC9"/>
    <w:rsid w:val="00CB0329"/>
    <w:rsid w:val="00CB1A56"/>
    <w:rsid w:val="00CB47EE"/>
    <w:rsid w:val="00CB4A74"/>
    <w:rsid w:val="00CB4C9A"/>
    <w:rsid w:val="00CB698E"/>
    <w:rsid w:val="00CC2B8B"/>
    <w:rsid w:val="00CC31B6"/>
    <w:rsid w:val="00CC6F0B"/>
    <w:rsid w:val="00CC73BC"/>
    <w:rsid w:val="00CC7FDA"/>
    <w:rsid w:val="00CD000B"/>
    <w:rsid w:val="00CD01B4"/>
    <w:rsid w:val="00CD5919"/>
    <w:rsid w:val="00CD5CC0"/>
    <w:rsid w:val="00CD60A8"/>
    <w:rsid w:val="00CD788A"/>
    <w:rsid w:val="00CD78E5"/>
    <w:rsid w:val="00CE0E68"/>
    <w:rsid w:val="00CE0EC6"/>
    <w:rsid w:val="00CE0EE9"/>
    <w:rsid w:val="00CE1FFC"/>
    <w:rsid w:val="00CE21EF"/>
    <w:rsid w:val="00CE4188"/>
    <w:rsid w:val="00CE7AD0"/>
    <w:rsid w:val="00CF14D7"/>
    <w:rsid w:val="00CF1737"/>
    <w:rsid w:val="00CF5E48"/>
    <w:rsid w:val="00CF79BC"/>
    <w:rsid w:val="00D010DE"/>
    <w:rsid w:val="00D145C3"/>
    <w:rsid w:val="00D16492"/>
    <w:rsid w:val="00D16B97"/>
    <w:rsid w:val="00D17542"/>
    <w:rsid w:val="00D203B8"/>
    <w:rsid w:val="00D21FE7"/>
    <w:rsid w:val="00D26D6B"/>
    <w:rsid w:val="00D333CD"/>
    <w:rsid w:val="00D33FED"/>
    <w:rsid w:val="00D35433"/>
    <w:rsid w:val="00D43F76"/>
    <w:rsid w:val="00D45560"/>
    <w:rsid w:val="00D46A43"/>
    <w:rsid w:val="00D51EAD"/>
    <w:rsid w:val="00D5251E"/>
    <w:rsid w:val="00D52E5D"/>
    <w:rsid w:val="00D54F00"/>
    <w:rsid w:val="00D60C9F"/>
    <w:rsid w:val="00D6334F"/>
    <w:rsid w:val="00D63DF2"/>
    <w:rsid w:val="00D64599"/>
    <w:rsid w:val="00D7050D"/>
    <w:rsid w:val="00D75D08"/>
    <w:rsid w:val="00D77E67"/>
    <w:rsid w:val="00D80786"/>
    <w:rsid w:val="00D848E7"/>
    <w:rsid w:val="00D84988"/>
    <w:rsid w:val="00D85B60"/>
    <w:rsid w:val="00D86A1D"/>
    <w:rsid w:val="00D90CA1"/>
    <w:rsid w:val="00D921E2"/>
    <w:rsid w:val="00D9300B"/>
    <w:rsid w:val="00D93D88"/>
    <w:rsid w:val="00D96F51"/>
    <w:rsid w:val="00DA0930"/>
    <w:rsid w:val="00DA15F6"/>
    <w:rsid w:val="00DA3C61"/>
    <w:rsid w:val="00DA3D64"/>
    <w:rsid w:val="00DA5030"/>
    <w:rsid w:val="00DB1FE9"/>
    <w:rsid w:val="00DB28F3"/>
    <w:rsid w:val="00DB2F58"/>
    <w:rsid w:val="00DC356E"/>
    <w:rsid w:val="00DC48F0"/>
    <w:rsid w:val="00DC5AAF"/>
    <w:rsid w:val="00DD12D1"/>
    <w:rsid w:val="00DD4689"/>
    <w:rsid w:val="00DD4D50"/>
    <w:rsid w:val="00DD53DD"/>
    <w:rsid w:val="00DE0A7C"/>
    <w:rsid w:val="00DE0DCD"/>
    <w:rsid w:val="00DE27AE"/>
    <w:rsid w:val="00DE41F9"/>
    <w:rsid w:val="00DE5B4A"/>
    <w:rsid w:val="00DE7E21"/>
    <w:rsid w:val="00DF1481"/>
    <w:rsid w:val="00DF2A5D"/>
    <w:rsid w:val="00E02076"/>
    <w:rsid w:val="00E02986"/>
    <w:rsid w:val="00E037D8"/>
    <w:rsid w:val="00E03FCE"/>
    <w:rsid w:val="00E05868"/>
    <w:rsid w:val="00E06834"/>
    <w:rsid w:val="00E12168"/>
    <w:rsid w:val="00E153F6"/>
    <w:rsid w:val="00E22A0B"/>
    <w:rsid w:val="00E24510"/>
    <w:rsid w:val="00E276BB"/>
    <w:rsid w:val="00E277E3"/>
    <w:rsid w:val="00E35EFD"/>
    <w:rsid w:val="00E425E8"/>
    <w:rsid w:val="00E42B7D"/>
    <w:rsid w:val="00E51134"/>
    <w:rsid w:val="00E51442"/>
    <w:rsid w:val="00E5306A"/>
    <w:rsid w:val="00E55740"/>
    <w:rsid w:val="00E55E9A"/>
    <w:rsid w:val="00E568C0"/>
    <w:rsid w:val="00E608E0"/>
    <w:rsid w:val="00E65C67"/>
    <w:rsid w:val="00E679B8"/>
    <w:rsid w:val="00E7114B"/>
    <w:rsid w:val="00E7333E"/>
    <w:rsid w:val="00E74E5C"/>
    <w:rsid w:val="00E81624"/>
    <w:rsid w:val="00E821B9"/>
    <w:rsid w:val="00E85BF6"/>
    <w:rsid w:val="00E8649C"/>
    <w:rsid w:val="00E87AA5"/>
    <w:rsid w:val="00E87B36"/>
    <w:rsid w:val="00E95E6C"/>
    <w:rsid w:val="00E963DC"/>
    <w:rsid w:val="00EA02B6"/>
    <w:rsid w:val="00EA090C"/>
    <w:rsid w:val="00EA6DE9"/>
    <w:rsid w:val="00EC0480"/>
    <w:rsid w:val="00EC4335"/>
    <w:rsid w:val="00EC5C2F"/>
    <w:rsid w:val="00EC607E"/>
    <w:rsid w:val="00ED02FA"/>
    <w:rsid w:val="00ED030F"/>
    <w:rsid w:val="00ED03C7"/>
    <w:rsid w:val="00ED2F40"/>
    <w:rsid w:val="00ED3284"/>
    <w:rsid w:val="00ED4936"/>
    <w:rsid w:val="00EE118C"/>
    <w:rsid w:val="00EE1635"/>
    <w:rsid w:val="00EE2204"/>
    <w:rsid w:val="00EF12F6"/>
    <w:rsid w:val="00EF39AE"/>
    <w:rsid w:val="00EF61AE"/>
    <w:rsid w:val="00F014E1"/>
    <w:rsid w:val="00F014F8"/>
    <w:rsid w:val="00F01D9A"/>
    <w:rsid w:val="00F031FD"/>
    <w:rsid w:val="00F047E1"/>
    <w:rsid w:val="00F0542B"/>
    <w:rsid w:val="00F05F6E"/>
    <w:rsid w:val="00F06AFB"/>
    <w:rsid w:val="00F07B1E"/>
    <w:rsid w:val="00F13E53"/>
    <w:rsid w:val="00F1583B"/>
    <w:rsid w:val="00F20A2A"/>
    <w:rsid w:val="00F22A50"/>
    <w:rsid w:val="00F2382B"/>
    <w:rsid w:val="00F27265"/>
    <w:rsid w:val="00F27C17"/>
    <w:rsid w:val="00F311D9"/>
    <w:rsid w:val="00F32435"/>
    <w:rsid w:val="00F341EC"/>
    <w:rsid w:val="00F3525D"/>
    <w:rsid w:val="00F35471"/>
    <w:rsid w:val="00F35F6D"/>
    <w:rsid w:val="00F36512"/>
    <w:rsid w:val="00F40C29"/>
    <w:rsid w:val="00F4271A"/>
    <w:rsid w:val="00F44613"/>
    <w:rsid w:val="00F47AC0"/>
    <w:rsid w:val="00F47BDC"/>
    <w:rsid w:val="00F50173"/>
    <w:rsid w:val="00F517FF"/>
    <w:rsid w:val="00F51CF6"/>
    <w:rsid w:val="00F6022D"/>
    <w:rsid w:val="00F64E29"/>
    <w:rsid w:val="00F654F2"/>
    <w:rsid w:val="00F66E0D"/>
    <w:rsid w:val="00F74D47"/>
    <w:rsid w:val="00F760C7"/>
    <w:rsid w:val="00F779C3"/>
    <w:rsid w:val="00F77DF2"/>
    <w:rsid w:val="00F77F9D"/>
    <w:rsid w:val="00F80FBF"/>
    <w:rsid w:val="00F81327"/>
    <w:rsid w:val="00F827C9"/>
    <w:rsid w:val="00F91490"/>
    <w:rsid w:val="00FA120E"/>
    <w:rsid w:val="00FB377F"/>
    <w:rsid w:val="00FB5825"/>
    <w:rsid w:val="00FB7EF1"/>
    <w:rsid w:val="00FC0378"/>
    <w:rsid w:val="00FC1233"/>
    <w:rsid w:val="00FC38D4"/>
    <w:rsid w:val="00FD13E1"/>
    <w:rsid w:val="00FD4041"/>
    <w:rsid w:val="00FD4446"/>
    <w:rsid w:val="00FD586B"/>
    <w:rsid w:val="00FD7A02"/>
    <w:rsid w:val="00FE0E08"/>
    <w:rsid w:val="00FE11A9"/>
    <w:rsid w:val="00FE2D27"/>
    <w:rsid w:val="00FE57E7"/>
    <w:rsid w:val="00FE6ADE"/>
    <w:rsid w:val="00FF0453"/>
    <w:rsid w:val="00FF07E5"/>
    <w:rsid w:val="00FF092F"/>
    <w:rsid w:val="00FF548C"/>
    <w:rsid w:val="00FF5573"/>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719"/>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customStyle="1" w:styleId="UnresolvedMention1">
    <w:name w:val="Unresolved Mention1"/>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 w:type="paragraph" w:styleId="NoSpacing">
    <w:name w:val="No Spacing"/>
    <w:uiPriority w:val="1"/>
    <w:qFormat/>
    <w:rsid w:val="006D2B34"/>
    <w:pPr>
      <w:spacing w:after="0" w:line="240" w:lineRule="auto"/>
    </w:pPr>
  </w:style>
  <w:style w:type="paragraph" w:styleId="FootnoteText">
    <w:name w:val="footnote text"/>
    <w:basedOn w:val="Normal"/>
    <w:link w:val="FootnoteTextChar"/>
    <w:uiPriority w:val="99"/>
    <w:semiHidden/>
    <w:unhideWhenUsed/>
    <w:rsid w:val="004B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93"/>
    <w:rPr>
      <w:sz w:val="20"/>
      <w:szCs w:val="20"/>
    </w:rPr>
  </w:style>
  <w:style w:type="character" w:styleId="FootnoteReference">
    <w:name w:val="footnote reference"/>
    <w:basedOn w:val="DefaultParagraphFont"/>
    <w:uiPriority w:val="99"/>
    <w:semiHidden/>
    <w:unhideWhenUsed/>
    <w:rsid w:val="004B5593"/>
    <w:rPr>
      <w:vertAlign w:val="superscript"/>
    </w:rPr>
  </w:style>
  <w:style w:type="character" w:styleId="UnresolvedMention">
    <w:name w:val="Unresolved Mention"/>
    <w:basedOn w:val="DefaultParagraphFont"/>
    <w:uiPriority w:val="99"/>
    <w:rsid w:val="004D2B11"/>
    <w:rPr>
      <w:color w:val="605E5C"/>
      <w:shd w:val="clear" w:color="auto" w:fill="E1DFDD"/>
    </w:rPr>
  </w:style>
  <w:style w:type="character" w:styleId="FollowedHyperlink">
    <w:name w:val="FollowedHyperlink"/>
    <w:basedOn w:val="DefaultParagraphFont"/>
    <w:uiPriority w:val="99"/>
    <w:semiHidden/>
    <w:unhideWhenUsed/>
    <w:rsid w:val="004D2B11"/>
    <w:rPr>
      <w:color w:val="954F72" w:themeColor="followedHyperlink"/>
      <w:u w:val="single"/>
    </w:rPr>
  </w:style>
  <w:style w:type="paragraph" w:styleId="Revision">
    <w:name w:val="Revision"/>
    <w:hidden/>
    <w:uiPriority w:val="99"/>
    <w:semiHidden/>
    <w:rsid w:val="00453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G-CSC@bia.gov"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gov/service/tcr-annual-awards-program" TargetMode="External"/><Relationship Id="rId5" Type="http://schemas.openxmlformats.org/officeDocument/2006/relationships/webSettings" Target="webSettings.xml"/><Relationship Id="rId15" Type="http://schemas.openxmlformats.org/officeDocument/2006/relationships/hyperlink" Target="https://www.tribalselfgov.org" TargetMode="External"/><Relationship Id="rId10" Type="http://schemas.openxmlformats.org/officeDocument/2006/relationships/hyperlink" Target="https://www.ncai.org/initiatives/tibc/tibc-documents" TargetMode="External"/><Relationship Id="rId4" Type="http://schemas.openxmlformats.org/officeDocument/2006/relationships/settings" Target="settings.xml"/><Relationship Id="rId9" Type="http://schemas.openxmlformats.org/officeDocument/2006/relationships/hyperlink" Target="mailto:OSG-FASSR@bia.gov" TargetMode="External"/><Relationship Id="rId14" Type="http://schemas.openxmlformats.org/officeDocument/2006/relationships/hyperlink" Target="https://www.bia.gov/directives-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FA8E-814D-4463-8783-41FC1B0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Jay Spaan</cp:lastModifiedBy>
  <cp:revision>2</cp:revision>
  <dcterms:created xsi:type="dcterms:W3CDTF">2023-12-11T17:51:00Z</dcterms:created>
  <dcterms:modified xsi:type="dcterms:W3CDTF">2023-12-11T17:51:00Z</dcterms:modified>
</cp:coreProperties>
</file>