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77583" w14:textId="77777777" w:rsidR="002E2A22" w:rsidRPr="008363F6" w:rsidRDefault="002E2A22" w:rsidP="002E2A22">
      <w:pPr>
        <w:jc w:val="center"/>
        <w:rPr>
          <w:rFonts w:ascii="Calibri" w:eastAsia="Calibri" w:hAnsi="Calibri" w:cs="Times New Roman"/>
          <w:b/>
          <w:bCs/>
          <w:kern w:val="0"/>
          <w:sz w:val="36"/>
          <w:szCs w:val="36"/>
          <w14:ligatures w14:val="none"/>
        </w:rPr>
      </w:pPr>
      <w:r w:rsidRPr="008363F6">
        <w:rPr>
          <w:rFonts w:ascii="Calibri" w:eastAsia="Calibri" w:hAnsi="Calibri" w:cs="Times New Roman"/>
          <w:b/>
          <w:bCs/>
          <w:kern w:val="0"/>
          <w:sz w:val="36"/>
          <w:szCs w:val="36"/>
          <w14:ligatures w14:val="none"/>
        </w:rPr>
        <w:t xml:space="preserve">IHS Self-Governance Advisory Committee (TSGAC) </w:t>
      </w:r>
    </w:p>
    <w:p w14:paraId="1663D445" w14:textId="77777777" w:rsidR="002E2A22" w:rsidRPr="008363F6" w:rsidRDefault="002E2A22" w:rsidP="002E2A22">
      <w:pPr>
        <w:jc w:val="center"/>
        <w:rPr>
          <w:rFonts w:ascii="Calibri" w:eastAsia="Calibri" w:hAnsi="Calibri" w:cs="Times New Roman"/>
          <w:b/>
          <w:bCs/>
          <w:kern w:val="0"/>
          <w:sz w:val="36"/>
          <w:szCs w:val="36"/>
          <w14:ligatures w14:val="none"/>
        </w:rPr>
      </w:pPr>
      <w:r w:rsidRPr="008363F6">
        <w:rPr>
          <w:rFonts w:ascii="Calibri" w:eastAsia="Calibri" w:hAnsi="Calibri" w:cs="Times New Roman"/>
          <w:b/>
          <w:bCs/>
          <w:kern w:val="0"/>
          <w:sz w:val="36"/>
          <w:szCs w:val="36"/>
          <w14:ligatures w14:val="none"/>
        </w:rPr>
        <w:t>Meeting Minutes</w:t>
      </w:r>
    </w:p>
    <w:p w14:paraId="0ED31EF4" w14:textId="03769300" w:rsidR="002E2A22" w:rsidRPr="008363F6" w:rsidRDefault="002E2A22" w:rsidP="002E2A22">
      <w:pPr>
        <w:jc w:val="center"/>
        <w:rPr>
          <w:rFonts w:ascii="Calibri" w:eastAsia="Calibri" w:hAnsi="Calibri" w:cs="Times New Roman"/>
          <w:b/>
          <w:bCs/>
          <w:kern w:val="0"/>
          <w:sz w:val="36"/>
          <w:szCs w:val="36"/>
          <w14:ligatures w14:val="none"/>
        </w:rPr>
      </w:pPr>
      <w:r>
        <w:rPr>
          <w:rFonts w:ascii="Calibri" w:eastAsia="Calibri" w:hAnsi="Calibri" w:cs="Times New Roman"/>
          <w:b/>
          <w:bCs/>
          <w:kern w:val="0"/>
          <w:sz w:val="24"/>
          <w:szCs w:val="24"/>
          <w14:ligatures w14:val="none"/>
        </w:rPr>
        <w:t>July 22-23</w:t>
      </w:r>
      <w:r w:rsidRPr="008363F6">
        <w:rPr>
          <w:rFonts w:ascii="Calibri" w:eastAsia="Calibri" w:hAnsi="Calibri" w:cs="Times New Roman"/>
          <w:b/>
          <w:bCs/>
          <w:kern w:val="0"/>
          <w:sz w:val="24"/>
          <w:szCs w:val="24"/>
          <w14:ligatures w14:val="none"/>
        </w:rPr>
        <w:t>, 202</w:t>
      </w:r>
      <w:r>
        <w:rPr>
          <w:rFonts w:ascii="Calibri" w:eastAsia="Calibri" w:hAnsi="Calibri" w:cs="Times New Roman"/>
          <w:b/>
          <w:bCs/>
          <w:kern w:val="0"/>
          <w:sz w:val="24"/>
          <w:szCs w:val="24"/>
          <w14:ligatures w14:val="none"/>
        </w:rPr>
        <w:t>4</w:t>
      </w:r>
    </w:p>
    <w:p w14:paraId="54573FD8" w14:textId="77777777" w:rsidR="002E2A22" w:rsidRPr="008363F6" w:rsidRDefault="002E2A22" w:rsidP="002E2A22">
      <w:pPr>
        <w:spacing w:after="0" w:line="240" w:lineRule="auto"/>
        <w:jc w:val="center"/>
        <w:rPr>
          <w:rFonts w:ascii="Calibri" w:eastAsia="Calibri" w:hAnsi="Calibri" w:cs="Times New Roman"/>
          <w:b/>
          <w:bCs/>
          <w:kern w:val="0"/>
          <w:sz w:val="28"/>
          <w:szCs w:val="28"/>
          <w14:ligatures w14:val="none"/>
        </w:rPr>
      </w:pPr>
      <w:r w:rsidRPr="008363F6">
        <w:rPr>
          <w:rFonts w:ascii="Calibri" w:eastAsia="Calibri" w:hAnsi="Calibri" w:cs="Times New Roman"/>
          <w:b/>
          <w:bCs/>
          <w:kern w:val="0"/>
          <w:sz w:val="28"/>
          <w:szCs w:val="28"/>
          <w14:ligatures w14:val="none"/>
        </w:rPr>
        <w:t>Embassy Suites</w:t>
      </w:r>
    </w:p>
    <w:p w14:paraId="32392D11" w14:textId="77777777" w:rsidR="002E2A22" w:rsidRPr="008363F6" w:rsidRDefault="002E2A22" w:rsidP="002E2A22">
      <w:pPr>
        <w:spacing w:after="0" w:line="240" w:lineRule="auto"/>
        <w:jc w:val="center"/>
        <w:rPr>
          <w:rFonts w:ascii="Calibri" w:eastAsia="Calibri" w:hAnsi="Calibri" w:cs="Times New Roman"/>
          <w:kern w:val="0"/>
          <w:sz w:val="24"/>
          <w:szCs w:val="24"/>
          <w14:ligatures w14:val="none"/>
        </w:rPr>
      </w:pPr>
      <w:r w:rsidRPr="008363F6">
        <w:rPr>
          <w:rFonts w:ascii="Calibri" w:eastAsia="Calibri" w:hAnsi="Calibri" w:cs="Times New Roman"/>
          <w:kern w:val="0"/>
          <w:sz w:val="24"/>
          <w:szCs w:val="24"/>
          <w14:ligatures w14:val="none"/>
        </w:rPr>
        <w:t>900 10</w:t>
      </w:r>
      <w:r w:rsidRPr="008363F6">
        <w:rPr>
          <w:rFonts w:ascii="Calibri" w:eastAsia="Calibri" w:hAnsi="Calibri" w:cs="Times New Roman"/>
          <w:kern w:val="0"/>
          <w:sz w:val="24"/>
          <w:szCs w:val="24"/>
          <w:vertAlign w:val="superscript"/>
          <w14:ligatures w14:val="none"/>
        </w:rPr>
        <w:t>th</w:t>
      </w:r>
      <w:r w:rsidRPr="008363F6">
        <w:rPr>
          <w:rFonts w:ascii="Calibri" w:eastAsia="Calibri" w:hAnsi="Calibri" w:cs="Times New Roman"/>
          <w:kern w:val="0"/>
          <w:sz w:val="24"/>
          <w:szCs w:val="24"/>
          <w14:ligatures w14:val="none"/>
        </w:rPr>
        <w:t xml:space="preserve"> Street NW</w:t>
      </w:r>
    </w:p>
    <w:p w14:paraId="5682B8B8" w14:textId="77777777" w:rsidR="002E2A22" w:rsidRDefault="002E2A22" w:rsidP="002E2A22">
      <w:pPr>
        <w:spacing w:after="0" w:line="240" w:lineRule="auto"/>
        <w:jc w:val="center"/>
        <w:rPr>
          <w:rFonts w:ascii="Calibri" w:eastAsia="Calibri" w:hAnsi="Calibri" w:cs="Times New Roman"/>
          <w:kern w:val="0"/>
          <w:sz w:val="24"/>
          <w:szCs w:val="24"/>
          <w14:ligatures w14:val="none"/>
        </w:rPr>
      </w:pPr>
      <w:r w:rsidRPr="008363F6">
        <w:rPr>
          <w:rFonts w:ascii="Calibri" w:eastAsia="Calibri" w:hAnsi="Calibri" w:cs="Times New Roman"/>
          <w:kern w:val="0"/>
          <w:sz w:val="24"/>
          <w:szCs w:val="24"/>
          <w14:ligatures w14:val="none"/>
        </w:rPr>
        <w:t>Washington, DC, 20001</w:t>
      </w:r>
    </w:p>
    <w:p w14:paraId="266B8A08" w14:textId="77777777" w:rsidR="003E73F8" w:rsidRDefault="003E73F8" w:rsidP="002E2A22">
      <w:pPr>
        <w:spacing w:after="0" w:line="240" w:lineRule="auto"/>
        <w:jc w:val="center"/>
        <w:rPr>
          <w:rFonts w:ascii="Calibri" w:eastAsia="Calibri" w:hAnsi="Calibri" w:cs="Times New Roman"/>
          <w:kern w:val="0"/>
          <w:sz w:val="24"/>
          <w:szCs w:val="24"/>
          <w14:ligatures w14:val="none"/>
        </w:rPr>
      </w:pPr>
    </w:p>
    <w:p w14:paraId="091855AD" w14:textId="16BB2339" w:rsidR="003E73F8" w:rsidRPr="003E73F8" w:rsidRDefault="003E73F8" w:rsidP="002E2A22">
      <w:pPr>
        <w:spacing w:after="0" w:line="240" w:lineRule="auto"/>
        <w:jc w:val="center"/>
        <w:rPr>
          <w:rFonts w:ascii="Calibri" w:eastAsia="Calibri" w:hAnsi="Calibri" w:cs="Times New Roman"/>
          <w:b/>
          <w:bCs/>
          <w:kern w:val="0"/>
          <w:sz w:val="24"/>
          <w:szCs w:val="24"/>
          <w14:ligatures w14:val="none"/>
        </w:rPr>
      </w:pPr>
      <w:r w:rsidRPr="003E73F8">
        <w:rPr>
          <w:rFonts w:ascii="Calibri" w:eastAsia="Calibri" w:hAnsi="Calibri" w:cs="Times New Roman"/>
          <w:b/>
          <w:bCs/>
          <w:kern w:val="0"/>
          <w:sz w:val="24"/>
          <w:szCs w:val="24"/>
          <w14:ligatures w14:val="none"/>
        </w:rPr>
        <w:t>Monday, July 22</w:t>
      </w:r>
    </w:p>
    <w:p w14:paraId="371B4561" w14:textId="77777777" w:rsidR="003E73F8" w:rsidRPr="008363F6" w:rsidRDefault="003E73F8" w:rsidP="002E2A22">
      <w:pPr>
        <w:spacing w:after="0" w:line="240" w:lineRule="auto"/>
        <w:jc w:val="center"/>
        <w:rPr>
          <w:rFonts w:ascii="Calibri" w:eastAsia="Calibri" w:hAnsi="Calibri" w:cs="Times New Roman"/>
          <w:kern w:val="0"/>
          <w:sz w:val="24"/>
          <w:szCs w:val="24"/>
          <w14:ligatures w14:val="none"/>
        </w:rPr>
      </w:pPr>
    </w:p>
    <w:p w14:paraId="1FCDCACA" w14:textId="2B0BAA55" w:rsidR="0048526B" w:rsidRPr="008363F6" w:rsidRDefault="0048526B" w:rsidP="0048526B">
      <w:pPr>
        <w:rPr>
          <w:rFonts w:ascii="Calibri" w:eastAsia="Calibri" w:hAnsi="Calibri" w:cs="Times New Roman"/>
          <w:b/>
          <w:bCs/>
          <w:kern w:val="0"/>
          <w:sz w:val="24"/>
          <w:szCs w:val="24"/>
          <w:u w:val="single"/>
          <w14:ligatures w14:val="none"/>
        </w:rPr>
      </w:pPr>
      <w:r w:rsidRPr="008363F6">
        <w:rPr>
          <w:rFonts w:ascii="Calibri" w:eastAsia="Calibri" w:hAnsi="Calibri" w:cs="Times New Roman"/>
          <w:b/>
          <w:bCs/>
          <w:kern w:val="0"/>
          <w:sz w:val="24"/>
          <w:szCs w:val="24"/>
          <w:u w:val="single"/>
          <w14:ligatures w14:val="none"/>
        </w:rPr>
        <w:t xml:space="preserve">Attendance </w:t>
      </w:r>
    </w:p>
    <w:p w14:paraId="4FEE190D" w14:textId="3FF13877" w:rsidR="0048526B" w:rsidRPr="00B45013" w:rsidRDefault="0048526B" w:rsidP="00B45013">
      <w:pPr>
        <w:rPr>
          <w:rFonts w:ascii="Calibri" w:eastAsia="Calibri" w:hAnsi="Calibri" w:cs="Times New Roman"/>
          <w:kern w:val="0"/>
          <w:sz w:val="24"/>
          <w:szCs w:val="24"/>
          <w14:ligatures w14:val="none"/>
        </w:rPr>
      </w:pPr>
      <w:r w:rsidRPr="008363F6">
        <w:rPr>
          <w:rFonts w:ascii="Calibri" w:eastAsia="Calibri" w:hAnsi="Calibri" w:cs="Times New Roman"/>
          <w:kern w:val="0"/>
          <w:sz w:val="24"/>
          <w:szCs w:val="24"/>
          <w14:ligatures w14:val="none"/>
        </w:rPr>
        <w:t>A quorum was</w:t>
      </w:r>
      <w:r w:rsidR="003B15DF">
        <w:rPr>
          <w:rFonts w:ascii="Calibri" w:eastAsia="Calibri" w:hAnsi="Calibri" w:cs="Times New Roman"/>
          <w:kern w:val="0"/>
          <w:sz w:val="24"/>
          <w:szCs w:val="24"/>
          <w14:ligatures w14:val="none"/>
        </w:rPr>
        <w:t xml:space="preserve"> not</w:t>
      </w:r>
      <w:r w:rsidRPr="008363F6">
        <w:rPr>
          <w:rFonts w:ascii="Calibri" w:eastAsia="Calibri" w:hAnsi="Calibri" w:cs="Times New Roman"/>
          <w:kern w:val="0"/>
          <w:sz w:val="24"/>
          <w:szCs w:val="24"/>
          <w14:ligatures w14:val="none"/>
        </w:rPr>
        <w:t xml:space="preserve"> established for the TSGAC meeting. </w:t>
      </w:r>
    </w:p>
    <w:p w14:paraId="5AA7B67A" w14:textId="77777777" w:rsidR="0048526B" w:rsidRDefault="0048526B" w:rsidP="0048526B">
      <w:pPr>
        <w:spacing w:after="0" w:line="240" w:lineRule="auto"/>
        <w:rPr>
          <w:rFonts w:ascii="Calibri" w:eastAsia="Calibri" w:hAnsi="Calibri" w:cs="Times New Roman"/>
          <w:b/>
          <w:bCs/>
          <w:kern w:val="0"/>
          <w:sz w:val="24"/>
          <w:szCs w:val="24"/>
          <w:u w:val="single"/>
          <w14:ligatures w14:val="none"/>
        </w:rPr>
      </w:pPr>
    </w:p>
    <w:p w14:paraId="02E4E7A7" w14:textId="714FF569" w:rsidR="003D545D" w:rsidRPr="003D545D" w:rsidRDefault="003D545D" w:rsidP="003D545D">
      <w:pPr>
        <w:tabs>
          <w:tab w:val="left" w:pos="2640"/>
        </w:tabs>
        <w:spacing w:after="0" w:line="240" w:lineRule="auto"/>
        <w:rPr>
          <w:rFonts w:ascii="Calibri" w:eastAsia="Calibri" w:hAnsi="Calibri" w:cs="Times New Roman"/>
          <w:b/>
          <w:bCs/>
          <w:kern w:val="0"/>
          <w:sz w:val="24"/>
          <w:szCs w:val="24"/>
          <w:u w:val="single"/>
          <w14:ligatures w14:val="none"/>
        </w:rPr>
      </w:pPr>
      <w:r w:rsidRPr="003D545D">
        <w:rPr>
          <w:rFonts w:ascii="Calibri" w:eastAsia="Calibri" w:hAnsi="Calibri" w:cs="Times New Roman"/>
          <w:b/>
          <w:bCs/>
          <w:kern w:val="0"/>
          <w:sz w:val="24"/>
          <w:szCs w:val="24"/>
          <w:u w:val="single"/>
          <w14:ligatures w14:val="none"/>
        </w:rPr>
        <w:t>DDIGA and Office of Tribal Self-Governance (OTSG) Update</w:t>
      </w:r>
    </w:p>
    <w:p w14:paraId="2297B46E" w14:textId="77777777" w:rsidR="003D545D" w:rsidRPr="003D545D" w:rsidRDefault="003D545D" w:rsidP="003D545D">
      <w:pPr>
        <w:tabs>
          <w:tab w:val="left" w:pos="2640"/>
        </w:tabs>
        <w:spacing w:after="0" w:line="240" w:lineRule="auto"/>
        <w:rPr>
          <w:rFonts w:ascii="Calibri" w:eastAsia="Calibri" w:hAnsi="Calibri" w:cs="Times New Roman"/>
          <w:i/>
          <w:iCs/>
          <w:kern w:val="0"/>
          <w:sz w:val="24"/>
          <w:szCs w:val="24"/>
          <w14:ligatures w14:val="none"/>
        </w:rPr>
      </w:pPr>
      <w:r w:rsidRPr="003D545D">
        <w:rPr>
          <w:rFonts w:ascii="Calibri" w:eastAsia="Calibri" w:hAnsi="Calibri" w:cs="Times New Roman"/>
          <w:i/>
          <w:iCs/>
          <w:kern w:val="0"/>
          <w:sz w:val="24"/>
          <w:szCs w:val="24"/>
          <w14:ligatures w14:val="none"/>
        </w:rPr>
        <w:t>Stacey Ecoffey, Deputy Director for Intergovernmental Affairs (DDIGA), IHS</w:t>
      </w:r>
    </w:p>
    <w:p w14:paraId="30F1B3BC" w14:textId="77777777" w:rsidR="003D545D" w:rsidRDefault="003D545D" w:rsidP="003D545D">
      <w:pPr>
        <w:tabs>
          <w:tab w:val="left" w:pos="2640"/>
        </w:tabs>
        <w:spacing w:after="0" w:line="240" w:lineRule="auto"/>
        <w:rPr>
          <w:rFonts w:ascii="Calibri" w:eastAsia="Calibri" w:hAnsi="Calibri" w:cs="Times New Roman"/>
          <w:i/>
          <w:iCs/>
          <w:kern w:val="0"/>
          <w:sz w:val="24"/>
          <w:szCs w:val="24"/>
          <w14:ligatures w14:val="none"/>
        </w:rPr>
      </w:pPr>
      <w:r w:rsidRPr="003D545D">
        <w:rPr>
          <w:rFonts w:ascii="Calibri" w:eastAsia="Calibri" w:hAnsi="Calibri" w:cs="Times New Roman"/>
          <w:i/>
          <w:iCs/>
          <w:kern w:val="0"/>
          <w:sz w:val="24"/>
          <w:szCs w:val="24"/>
          <w14:ligatures w14:val="none"/>
        </w:rPr>
        <w:t>Jennifer Cooper, Director, OTSG, IHS</w:t>
      </w:r>
    </w:p>
    <w:p w14:paraId="06373569" w14:textId="77777777" w:rsidR="008B1BB2" w:rsidRDefault="008B1BB2" w:rsidP="003D545D">
      <w:pPr>
        <w:tabs>
          <w:tab w:val="left" w:pos="2640"/>
        </w:tabs>
        <w:spacing w:after="0" w:line="240" w:lineRule="auto"/>
        <w:rPr>
          <w:rFonts w:ascii="Calibri" w:eastAsia="Calibri" w:hAnsi="Calibri" w:cs="Times New Roman"/>
          <w:i/>
          <w:iCs/>
          <w:kern w:val="0"/>
          <w:sz w:val="24"/>
          <w:szCs w:val="24"/>
          <w14:ligatures w14:val="none"/>
        </w:rPr>
      </w:pPr>
    </w:p>
    <w:p w14:paraId="03DB687E" w14:textId="296D5C3D" w:rsidR="003D545D" w:rsidRDefault="00883D4C" w:rsidP="003D545D">
      <w:pPr>
        <w:tabs>
          <w:tab w:val="left" w:pos="2640"/>
        </w:tabs>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w:t>
      </w:r>
      <w:r w:rsidR="002E30B0">
        <w:rPr>
          <w:rFonts w:ascii="Calibri" w:eastAsia="Calibri" w:hAnsi="Calibri" w:cs="Times New Roman"/>
          <w:kern w:val="0"/>
          <w:sz w:val="24"/>
          <w:szCs w:val="24"/>
          <w14:ligatures w14:val="none"/>
        </w:rPr>
        <w:t>ere are 114 active compacts</w:t>
      </w:r>
      <w:r w:rsidR="00523F1F">
        <w:rPr>
          <w:rFonts w:ascii="Calibri" w:eastAsia="Calibri" w:hAnsi="Calibri" w:cs="Times New Roman"/>
          <w:kern w:val="0"/>
          <w:sz w:val="24"/>
          <w:szCs w:val="24"/>
          <w14:ligatures w14:val="none"/>
        </w:rPr>
        <w:t xml:space="preserve"> and 141 funding agreements (88 fiscal year and 53 calendar year). </w:t>
      </w:r>
      <w:r w:rsidR="00D1047C">
        <w:rPr>
          <w:rFonts w:ascii="Calibri" w:eastAsia="Calibri" w:hAnsi="Calibri" w:cs="Times New Roman"/>
          <w:kern w:val="0"/>
          <w:sz w:val="24"/>
          <w:szCs w:val="24"/>
          <w14:ligatures w14:val="none"/>
        </w:rPr>
        <w:t xml:space="preserve">The OTSG </w:t>
      </w:r>
      <w:r w:rsidR="001D690E">
        <w:rPr>
          <w:rFonts w:ascii="Calibri" w:eastAsia="Calibri" w:hAnsi="Calibri" w:cs="Times New Roman"/>
          <w:kern w:val="0"/>
          <w:sz w:val="24"/>
          <w:szCs w:val="24"/>
          <w14:ligatures w14:val="none"/>
        </w:rPr>
        <w:t>will transfer over $2.8 billion</w:t>
      </w:r>
      <w:r w:rsidR="00F23772">
        <w:rPr>
          <w:rFonts w:ascii="Calibri" w:eastAsia="Calibri" w:hAnsi="Calibri" w:cs="Times New Roman"/>
          <w:kern w:val="0"/>
          <w:sz w:val="24"/>
          <w:szCs w:val="24"/>
          <w14:ligatures w14:val="none"/>
        </w:rPr>
        <w:t xml:space="preserve"> to Tribes by the end of this fiscal yea</w:t>
      </w:r>
      <w:r w:rsidR="00FE452A">
        <w:rPr>
          <w:rFonts w:ascii="Calibri" w:eastAsia="Calibri" w:hAnsi="Calibri" w:cs="Times New Roman"/>
          <w:kern w:val="0"/>
          <w:sz w:val="24"/>
          <w:szCs w:val="24"/>
          <w14:ligatures w14:val="none"/>
        </w:rPr>
        <w:t xml:space="preserve">r. </w:t>
      </w:r>
    </w:p>
    <w:p w14:paraId="768FB885" w14:textId="61E48ABF" w:rsidR="00FE452A" w:rsidRDefault="001A0FA4" w:rsidP="003D545D">
      <w:pPr>
        <w:tabs>
          <w:tab w:val="left" w:pos="2640"/>
        </w:tabs>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The OTSG has awarded the </w:t>
      </w:r>
      <w:r w:rsidR="00904E10">
        <w:rPr>
          <w:rFonts w:ascii="Calibri" w:eastAsia="Calibri" w:hAnsi="Calibri" w:cs="Times New Roman"/>
          <w:kern w:val="0"/>
          <w:sz w:val="24"/>
          <w:szCs w:val="24"/>
          <w14:ligatures w14:val="none"/>
        </w:rPr>
        <w:t xml:space="preserve">first round of planning and </w:t>
      </w:r>
      <w:r>
        <w:rPr>
          <w:rFonts w:ascii="Calibri" w:eastAsia="Calibri" w:hAnsi="Calibri" w:cs="Times New Roman"/>
          <w:kern w:val="0"/>
          <w:sz w:val="24"/>
          <w:szCs w:val="24"/>
          <w14:ligatures w14:val="none"/>
        </w:rPr>
        <w:t xml:space="preserve">cooperative agreements. </w:t>
      </w:r>
      <w:r w:rsidR="00904E10">
        <w:rPr>
          <w:rFonts w:ascii="Calibri" w:eastAsia="Calibri" w:hAnsi="Calibri" w:cs="Times New Roman"/>
          <w:kern w:val="0"/>
          <w:sz w:val="24"/>
          <w:szCs w:val="24"/>
          <w14:ligatures w14:val="none"/>
        </w:rPr>
        <w:t xml:space="preserve">The second round of payments </w:t>
      </w:r>
      <w:r w:rsidR="00E62232">
        <w:rPr>
          <w:rFonts w:ascii="Calibri" w:eastAsia="Calibri" w:hAnsi="Calibri" w:cs="Times New Roman"/>
          <w:kern w:val="0"/>
          <w:sz w:val="24"/>
          <w:szCs w:val="24"/>
          <w14:ligatures w14:val="none"/>
        </w:rPr>
        <w:t>is</w:t>
      </w:r>
      <w:r w:rsidR="00904E10">
        <w:rPr>
          <w:rFonts w:ascii="Calibri" w:eastAsia="Calibri" w:hAnsi="Calibri" w:cs="Times New Roman"/>
          <w:kern w:val="0"/>
          <w:sz w:val="24"/>
          <w:szCs w:val="24"/>
          <w14:ligatures w14:val="none"/>
        </w:rPr>
        <w:t xml:space="preserve"> pending internal review. </w:t>
      </w:r>
      <w:r w:rsidR="00E62232">
        <w:rPr>
          <w:rFonts w:ascii="Calibri" w:eastAsia="Calibri" w:hAnsi="Calibri" w:cs="Times New Roman"/>
          <w:kern w:val="0"/>
          <w:sz w:val="24"/>
          <w:szCs w:val="24"/>
          <w14:ligatures w14:val="none"/>
        </w:rPr>
        <w:t xml:space="preserve">They are anticipating the award notice in August. </w:t>
      </w:r>
    </w:p>
    <w:p w14:paraId="12DFAACF" w14:textId="77777777" w:rsidR="002C3063" w:rsidRDefault="002C3063" w:rsidP="003D545D">
      <w:pPr>
        <w:tabs>
          <w:tab w:val="left" w:pos="2640"/>
        </w:tabs>
        <w:spacing w:after="0" w:line="240" w:lineRule="auto"/>
        <w:rPr>
          <w:rFonts w:ascii="Calibri" w:eastAsia="Calibri" w:hAnsi="Calibri" w:cs="Times New Roman"/>
          <w:kern w:val="0"/>
          <w:sz w:val="24"/>
          <w:szCs w:val="24"/>
          <w14:ligatures w14:val="none"/>
        </w:rPr>
      </w:pPr>
    </w:p>
    <w:p w14:paraId="40B6222A" w14:textId="667FBE3C" w:rsidR="002C3063" w:rsidRDefault="00767886" w:rsidP="003D545D">
      <w:pPr>
        <w:tabs>
          <w:tab w:val="left" w:pos="2640"/>
        </w:tabs>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The DDIGA and OTSG are focused on increasing knowledge and awareness of the Indian Self-Determination and Education Assistance Act (ISDEAA). </w:t>
      </w:r>
      <w:r w:rsidR="0055237C">
        <w:rPr>
          <w:rFonts w:ascii="Calibri" w:eastAsia="Calibri" w:hAnsi="Calibri" w:cs="Times New Roman"/>
          <w:kern w:val="0"/>
          <w:sz w:val="24"/>
          <w:szCs w:val="24"/>
          <w14:ligatures w14:val="none"/>
        </w:rPr>
        <w:t xml:space="preserve">They have been hosting </w:t>
      </w:r>
      <w:r w:rsidR="00205C28">
        <w:rPr>
          <w:rFonts w:ascii="Calibri" w:eastAsia="Calibri" w:hAnsi="Calibri" w:cs="Times New Roman"/>
          <w:kern w:val="0"/>
          <w:sz w:val="24"/>
          <w:szCs w:val="24"/>
          <w14:ligatures w14:val="none"/>
        </w:rPr>
        <w:t>training</w:t>
      </w:r>
      <w:r w:rsidR="0055237C">
        <w:rPr>
          <w:rFonts w:ascii="Calibri" w:eastAsia="Calibri" w:hAnsi="Calibri" w:cs="Times New Roman"/>
          <w:kern w:val="0"/>
          <w:sz w:val="24"/>
          <w:szCs w:val="24"/>
          <w14:ligatures w14:val="none"/>
        </w:rPr>
        <w:t xml:space="preserve"> on a mon</w:t>
      </w:r>
      <w:r w:rsidR="0041206C">
        <w:rPr>
          <w:rFonts w:ascii="Calibri" w:eastAsia="Calibri" w:hAnsi="Calibri" w:cs="Times New Roman"/>
          <w:kern w:val="0"/>
          <w:sz w:val="24"/>
          <w:szCs w:val="24"/>
          <w14:ligatures w14:val="none"/>
        </w:rPr>
        <w:t xml:space="preserve">thly basis. </w:t>
      </w:r>
      <w:r w:rsidR="003B4627">
        <w:rPr>
          <w:rFonts w:ascii="Calibri" w:eastAsia="Calibri" w:hAnsi="Calibri" w:cs="Times New Roman"/>
          <w:kern w:val="0"/>
          <w:sz w:val="24"/>
          <w:szCs w:val="24"/>
          <w14:ligatures w14:val="none"/>
        </w:rPr>
        <w:t xml:space="preserve">IHS staff, </w:t>
      </w:r>
      <w:r w:rsidR="008740EA">
        <w:rPr>
          <w:rFonts w:ascii="Calibri" w:eastAsia="Calibri" w:hAnsi="Calibri" w:cs="Times New Roman"/>
          <w:kern w:val="0"/>
          <w:sz w:val="24"/>
          <w:szCs w:val="24"/>
          <w14:ligatures w14:val="none"/>
        </w:rPr>
        <w:t>other federal government agencies, tribal leaders and staff, and ISDEAA negotiators</w:t>
      </w:r>
      <w:r w:rsidR="00205C28">
        <w:rPr>
          <w:rFonts w:ascii="Calibri" w:eastAsia="Calibri" w:hAnsi="Calibri" w:cs="Times New Roman"/>
          <w:kern w:val="0"/>
          <w:sz w:val="24"/>
          <w:szCs w:val="24"/>
          <w14:ligatures w14:val="none"/>
        </w:rPr>
        <w:t xml:space="preserve"> have all participated in the training. </w:t>
      </w:r>
    </w:p>
    <w:p w14:paraId="54245BAA" w14:textId="77777777" w:rsidR="00D85F88" w:rsidRDefault="00D85F88" w:rsidP="003D545D">
      <w:pPr>
        <w:tabs>
          <w:tab w:val="left" w:pos="2640"/>
        </w:tabs>
        <w:spacing w:after="0" w:line="240" w:lineRule="auto"/>
        <w:rPr>
          <w:rFonts w:ascii="Calibri" w:eastAsia="Calibri" w:hAnsi="Calibri" w:cs="Times New Roman"/>
          <w:kern w:val="0"/>
          <w:sz w:val="24"/>
          <w:szCs w:val="24"/>
          <w14:ligatures w14:val="none"/>
        </w:rPr>
      </w:pPr>
    </w:p>
    <w:p w14:paraId="141406C8" w14:textId="18F30CB8" w:rsidR="00442044" w:rsidRDefault="00BD13E9" w:rsidP="003D545D">
      <w:pPr>
        <w:tabs>
          <w:tab w:val="left" w:pos="2640"/>
        </w:tabs>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FY 2016-2017 report to Congress has been finalized</w:t>
      </w:r>
      <w:r w:rsidR="00F36EB6">
        <w:rPr>
          <w:rFonts w:ascii="Calibri" w:eastAsia="Calibri" w:hAnsi="Calibri" w:cs="Times New Roman"/>
          <w:kern w:val="0"/>
          <w:sz w:val="24"/>
          <w:szCs w:val="24"/>
          <w14:ligatures w14:val="none"/>
        </w:rPr>
        <w:t xml:space="preserve"> and should be available online as a final report. </w:t>
      </w:r>
      <w:r w:rsidR="006629CC">
        <w:rPr>
          <w:rFonts w:ascii="Calibri" w:eastAsia="Calibri" w:hAnsi="Calibri" w:cs="Times New Roman"/>
          <w:kern w:val="0"/>
          <w:sz w:val="24"/>
          <w:szCs w:val="24"/>
          <w14:ligatures w14:val="none"/>
        </w:rPr>
        <w:t xml:space="preserve">The OTSG </w:t>
      </w:r>
      <w:r w:rsidR="00EC3614">
        <w:rPr>
          <w:rFonts w:ascii="Calibri" w:eastAsia="Calibri" w:hAnsi="Calibri" w:cs="Times New Roman"/>
          <w:kern w:val="0"/>
          <w:sz w:val="24"/>
          <w:szCs w:val="24"/>
          <w14:ligatures w14:val="none"/>
        </w:rPr>
        <w:t>seeks</w:t>
      </w:r>
      <w:r w:rsidR="006629CC">
        <w:rPr>
          <w:rFonts w:ascii="Calibri" w:eastAsia="Calibri" w:hAnsi="Calibri" w:cs="Times New Roman"/>
          <w:kern w:val="0"/>
          <w:sz w:val="24"/>
          <w:szCs w:val="24"/>
          <w14:ligatures w14:val="none"/>
        </w:rPr>
        <w:t xml:space="preserve"> input and consulting with Tribe regarding the</w:t>
      </w:r>
      <w:r w:rsidR="00412F23">
        <w:rPr>
          <w:rFonts w:ascii="Calibri" w:eastAsia="Calibri" w:hAnsi="Calibri" w:cs="Times New Roman"/>
          <w:kern w:val="0"/>
          <w:sz w:val="24"/>
          <w:szCs w:val="24"/>
          <w14:ligatures w14:val="none"/>
        </w:rPr>
        <w:t xml:space="preserve"> FY 2018-2019 report. The FY 2020-2021 and FY 2022-2023 are being prepared to </w:t>
      </w:r>
      <w:r w:rsidR="00C11CA9">
        <w:rPr>
          <w:rFonts w:ascii="Calibri" w:eastAsia="Calibri" w:hAnsi="Calibri" w:cs="Times New Roman"/>
          <w:kern w:val="0"/>
          <w:sz w:val="24"/>
          <w:szCs w:val="24"/>
          <w14:ligatures w14:val="none"/>
        </w:rPr>
        <w:t xml:space="preserve">start the consultation process. </w:t>
      </w:r>
    </w:p>
    <w:p w14:paraId="769B582E" w14:textId="77777777" w:rsidR="00D72F85" w:rsidRPr="00D72F85" w:rsidRDefault="00D72F85" w:rsidP="003D545D">
      <w:pPr>
        <w:tabs>
          <w:tab w:val="left" w:pos="2640"/>
        </w:tabs>
        <w:spacing w:after="0" w:line="240" w:lineRule="auto"/>
        <w:rPr>
          <w:rFonts w:ascii="Calibri" w:eastAsia="Calibri" w:hAnsi="Calibri" w:cs="Times New Roman"/>
          <w:kern w:val="0"/>
          <w:sz w:val="24"/>
          <w:szCs w:val="24"/>
          <w14:ligatures w14:val="none"/>
        </w:rPr>
      </w:pPr>
    </w:p>
    <w:p w14:paraId="419D47B5" w14:textId="0638E381" w:rsidR="003D545D" w:rsidRDefault="00DD2D63" w:rsidP="003D545D">
      <w:pPr>
        <w:tabs>
          <w:tab w:val="left" w:pos="2640"/>
        </w:tabs>
        <w:spacing w:after="0" w:line="240" w:lineRule="auto"/>
        <w:rPr>
          <w:rFonts w:ascii="Calibri" w:eastAsia="Calibri" w:hAnsi="Calibri" w:cs="Times New Roman"/>
          <w:b/>
          <w:bCs/>
          <w:kern w:val="0"/>
          <w:sz w:val="24"/>
          <w:szCs w:val="24"/>
          <w:u w:val="single"/>
          <w14:ligatures w14:val="none"/>
        </w:rPr>
      </w:pPr>
      <w:r w:rsidRPr="00DD2D63">
        <w:rPr>
          <w:rFonts w:ascii="Calibri" w:eastAsia="Calibri" w:hAnsi="Calibri" w:cs="Times New Roman"/>
          <w:b/>
          <w:bCs/>
          <w:kern w:val="0"/>
          <w:sz w:val="24"/>
          <w:szCs w:val="24"/>
          <w:u w:val="single"/>
          <w14:ligatures w14:val="none"/>
        </w:rPr>
        <w:t>IHS One HR</w:t>
      </w:r>
      <w:r w:rsidR="00925D1C">
        <w:rPr>
          <w:rFonts w:ascii="Calibri" w:eastAsia="Calibri" w:hAnsi="Calibri" w:cs="Times New Roman"/>
          <w:b/>
          <w:bCs/>
          <w:kern w:val="0"/>
          <w:sz w:val="24"/>
          <w:szCs w:val="24"/>
          <w:u w:val="single"/>
          <w14:ligatures w14:val="none"/>
        </w:rPr>
        <w:t xml:space="preserve"> and Strategic Plan</w:t>
      </w:r>
    </w:p>
    <w:p w14:paraId="32BDB0AD" w14:textId="2ED39982" w:rsidR="00835968" w:rsidRDefault="00925D1C" w:rsidP="003D545D">
      <w:pPr>
        <w:tabs>
          <w:tab w:val="left" w:pos="2640"/>
        </w:tabs>
        <w:spacing w:after="0" w:line="240" w:lineRule="auto"/>
        <w:rPr>
          <w:rFonts w:ascii="Calibri" w:eastAsia="Calibri" w:hAnsi="Calibri" w:cs="Times New Roman"/>
          <w:i/>
          <w:iCs/>
          <w:kern w:val="0"/>
          <w:sz w:val="24"/>
          <w:szCs w:val="24"/>
          <w14:ligatures w14:val="none"/>
        </w:rPr>
      </w:pPr>
      <w:r w:rsidRPr="007E2392">
        <w:rPr>
          <w:rFonts w:ascii="Calibri" w:eastAsia="Calibri" w:hAnsi="Calibri" w:cs="Times New Roman"/>
          <w:i/>
          <w:iCs/>
          <w:kern w:val="0"/>
          <w:sz w:val="24"/>
          <w:szCs w:val="24"/>
          <w14:ligatures w14:val="none"/>
        </w:rPr>
        <w:t xml:space="preserve">Dan Frye, Acting Director, </w:t>
      </w:r>
      <w:r w:rsidR="007E2392" w:rsidRPr="007E2392">
        <w:rPr>
          <w:rFonts w:ascii="Calibri" w:eastAsia="Calibri" w:hAnsi="Calibri" w:cs="Times New Roman"/>
          <w:i/>
          <w:iCs/>
          <w:kern w:val="0"/>
          <w:sz w:val="24"/>
          <w:szCs w:val="24"/>
          <w14:ligatures w14:val="none"/>
        </w:rPr>
        <w:t>Office of Human Resources, IHS</w:t>
      </w:r>
    </w:p>
    <w:p w14:paraId="6117D2CD" w14:textId="77B3100B" w:rsidR="007E2392" w:rsidRPr="007E2392" w:rsidRDefault="00416B7B" w:rsidP="003D545D">
      <w:pPr>
        <w:tabs>
          <w:tab w:val="left" w:pos="2640"/>
        </w:tabs>
        <w:spacing w:after="0" w:line="240" w:lineRule="auto"/>
        <w:rPr>
          <w:rFonts w:ascii="Calibri" w:eastAsia="Calibri" w:hAnsi="Calibri" w:cs="Times New Roman"/>
          <w:i/>
          <w:iCs/>
          <w:kern w:val="0"/>
          <w:sz w:val="24"/>
          <w:szCs w:val="24"/>
          <w14:ligatures w14:val="none"/>
        </w:rPr>
      </w:pPr>
      <w:r>
        <w:rPr>
          <w:rFonts w:ascii="Calibri" w:eastAsia="Calibri" w:hAnsi="Calibri" w:cs="Times New Roman"/>
          <w:i/>
          <w:iCs/>
          <w:kern w:val="0"/>
          <w:sz w:val="24"/>
          <w:szCs w:val="24"/>
          <w14:ligatures w14:val="none"/>
        </w:rPr>
        <w:t>RDML Francis Frazier, Office of Public Health Support, IHS</w:t>
      </w:r>
    </w:p>
    <w:p w14:paraId="530525A3" w14:textId="77777777" w:rsidR="00F41823" w:rsidRDefault="00F41823" w:rsidP="003D545D">
      <w:pPr>
        <w:tabs>
          <w:tab w:val="left" w:pos="2640"/>
        </w:tabs>
        <w:spacing w:after="0" w:line="240" w:lineRule="auto"/>
        <w:rPr>
          <w:rFonts w:ascii="Calibri" w:eastAsia="Calibri" w:hAnsi="Calibri" w:cs="Times New Roman"/>
          <w:b/>
          <w:bCs/>
          <w:kern w:val="0"/>
          <w:sz w:val="24"/>
          <w:szCs w:val="24"/>
          <w:u w:val="single"/>
          <w14:ligatures w14:val="none"/>
        </w:rPr>
      </w:pPr>
    </w:p>
    <w:p w14:paraId="4C432AF4" w14:textId="0E04C299" w:rsidR="00416B7B" w:rsidRPr="00416B7B" w:rsidRDefault="00416B7B" w:rsidP="003D545D">
      <w:pPr>
        <w:tabs>
          <w:tab w:val="left" w:pos="2640"/>
        </w:tabs>
        <w:spacing w:after="0" w:line="240" w:lineRule="auto"/>
        <w:rPr>
          <w:rFonts w:ascii="Calibri" w:eastAsia="Calibri" w:hAnsi="Calibri" w:cs="Times New Roman"/>
          <w:b/>
          <w:bCs/>
          <w:kern w:val="0"/>
          <w:sz w:val="24"/>
          <w:szCs w:val="24"/>
          <w14:ligatures w14:val="none"/>
        </w:rPr>
      </w:pPr>
      <w:r w:rsidRPr="00416B7B">
        <w:rPr>
          <w:rFonts w:ascii="Calibri" w:eastAsia="Calibri" w:hAnsi="Calibri" w:cs="Times New Roman"/>
          <w:b/>
          <w:bCs/>
          <w:kern w:val="0"/>
          <w:sz w:val="24"/>
          <w:szCs w:val="24"/>
          <w14:ligatures w14:val="none"/>
        </w:rPr>
        <w:t>One HR</w:t>
      </w:r>
    </w:p>
    <w:p w14:paraId="096CF48E" w14:textId="7C190F10" w:rsidR="00FD49CD" w:rsidRDefault="006D17C1" w:rsidP="003D545D">
      <w:pPr>
        <w:tabs>
          <w:tab w:val="left" w:pos="2640"/>
        </w:tabs>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IHS has approximately 15,000 employees</w:t>
      </w:r>
      <w:r w:rsidR="00E14C87">
        <w:rPr>
          <w:rFonts w:ascii="Calibri" w:eastAsia="Calibri" w:hAnsi="Calibri" w:cs="Times New Roman"/>
          <w:kern w:val="0"/>
          <w:sz w:val="24"/>
          <w:szCs w:val="24"/>
          <w14:ligatures w14:val="none"/>
        </w:rPr>
        <w:t>, and approximately 72% are AI/AN employees</w:t>
      </w:r>
      <w:r w:rsidR="000E74A7">
        <w:rPr>
          <w:rFonts w:ascii="Calibri" w:eastAsia="Calibri" w:hAnsi="Calibri" w:cs="Times New Roman"/>
          <w:kern w:val="0"/>
          <w:sz w:val="24"/>
          <w:szCs w:val="24"/>
          <w14:ligatures w14:val="none"/>
        </w:rPr>
        <w:t xml:space="preserve">. </w:t>
      </w:r>
      <w:r w:rsidR="00A01437">
        <w:rPr>
          <w:rFonts w:ascii="Calibri" w:eastAsia="Calibri" w:hAnsi="Calibri" w:cs="Times New Roman"/>
          <w:kern w:val="0"/>
          <w:sz w:val="24"/>
          <w:szCs w:val="24"/>
          <w14:ligatures w14:val="none"/>
        </w:rPr>
        <w:t xml:space="preserve">The IHS human resources initiatives </w:t>
      </w:r>
      <w:r w:rsidR="00513EC1">
        <w:rPr>
          <w:rFonts w:ascii="Calibri" w:eastAsia="Calibri" w:hAnsi="Calibri" w:cs="Times New Roman"/>
          <w:kern w:val="0"/>
          <w:sz w:val="24"/>
          <w:szCs w:val="24"/>
          <w14:ligatures w14:val="none"/>
        </w:rPr>
        <w:t>include expansive</w:t>
      </w:r>
      <w:r w:rsidR="00A01437">
        <w:rPr>
          <w:rFonts w:ascii="Calibri" w:eastAsia="Calibri" w:hAnsi="Calibri" w:cs="Times New Roman"/>
          <w:kern w:val="0"/>
          <w:sz w:val="24"/>
          <w:szCs w:val="24"/>
          <w14:ligatures w14:val="none"/>
        </w:rPr>
        <w:t xml:space="preserve"> </w:t>
      </w:r>
      <w:r w:rsidR="002B6F25">
        <w:rPr>
          <w:rFonts w:ascii="Calibri" w:eastAsia="Calibri" w:hAnsi="Calibri" w:cs="Times New Roman"/>
          <w:kern w:val="0"/>
          <w:sz w:val="24"/>
          <w:szCs w:val="24"/>
          <w14:ligatures w14:val="none"/>
        </w:rPr>
        <w:t>use of Title 5 and Title 38</w:t>
      </w:r>
      <w:r w:rsidR="00513EC1">
        <w:rPr>
          <w:rFonts w:ascii="Calibri" w:eastAsia="Calibri" w:hAnsi="Calibri" w:cs="Times New Roman"/>
          <w:kern w:val="0"/>
          <w:sz w:val="24"/>
          <w:szCs w:val="24"/>
          <w14:ligatures w14:val="none"/>
        </w:rPr>
        <w:t xml:space="preserve"> compensation authorities</w:t>
      </w:r>
      <w:r w:rsidR="00DC09A3">
        <w:rPr>
          <w:rFonts w:ascii="Calibri" w:eastAsia="Calibri" w:hAnsi="Calibri" w:cs="Times New Roman"/>
          <w:kern w:val="0"/>
          <w:sz w:val="24"/>
          <w:szCs w:val="24"/>
          <w14:ligatures w14:val="none"/>
        </w:rPr>
        <w:t xml:space="preserve">. The IHS </w:t>
      </w:r>
      <w:r w:rsidR="00EC3614">
        <w:rPr>
          <w:rFonts w:ascii="Calibri" w:eastAsia="Calibri" w:hAnsi="Calibri" w:cs="Times New Roman"/>
          <w:kern w:val="0"/>
          <w:sz w:val="24"/>
          <w:szCs w:val="24"/>
          <w14:ligatures w14:val="none"/>
        </w:rPr>
        <w:t>also seeks</w:t>
      </w:r>
      <w:r w:rsidR="00DC09A3">
        <w:rPr>
          <w:rFonts w:ascii="Calibri" w:eastAsia="Calibri" w:hAnsi="Calibri" w:cs="Times New Roman"/>
          <w:kern w:val="0"/>
          <w:sz w:val="24"/>
          <w:szCs w:val="24"/>
          <w14:ligatures w14:val="none"/>
        </w:rPr>
        <w:t xml:space="preserve"> to </w:t>
      </w:r>
      <w:r w:rsidR="00EC3614">
        <w:rPr>
          <w:rFonts w:ascii="Calibri" w:eastAsia="Calibri" w:hAnsi="Calibri" w:cs="Times New Roman"/>
          <w:kern w:val="0"/>
          <w:sz w:val="24"/>
          <w:szCs w:val="24"/>
          <w14:ligatures w14:val="none"/>
        </w:rPr>
        <w:t>improve</w:t>
      </w:r>
      <w:r w:rsidR="00DC09A3">
        <w:rPr>
          <w:rFonts w:ascii="Calibri" w:eastAsia="Calibri" w:hAnsi="Calibri" w:cs="Times New Roman"/>
          <w:kern w:val="0"/>
          <w:sz w:val="24"/>
          <w:szCs w:val="24"/>
          <w14:ligatures w14:val="none"/>
        </w:rPr>
        <w:t xml:space="preserve"> classification, hiring and outreach, housing subsidies, and training. </w:t>
      </w:r>
      <w:r w:rsidR="00E14C87">
        <w:rPr>
          <w:rFonts w:ascii="Calibri" w:eastAsia="Calibri" w:hAnsi="Calibri" w:cs="Times New Roman"/>
          <w:kern w:val="0"/>
          <w:sz w:val="24"/>
          <w:szCs w:val="24"/>
          <w14:ligatures w14:val="none"/>
        </w:rPr>
        <w:t xml:space="preserve">Additionally, the IHS offers </w:t>
      </w:r>
      <w:r w:rsidR="008F6BB1">
        <w:rPr>
          <w:rFonts w:ascii="Calibri" w:eastAsia="Calibri" w:hAnsi="Calibri" w:cs="Times New Roman"/>
          <w:kern w:val="0"/>
          <w:sz w:val="24"/>
          <w:szCs w:val="24"/>
          <w14:ligatures w14:val="none"/>
        </w:rPr>
        <w:t>scholarship</w:t>
      </w:r>
      <w:r w:rsidR="00517773">
        <w:rPr>
          <w:rFonts w:ascii="Calibri" w:eastAsia="Calibri" w:hAnsi="Calibri" w:cs="Times New Roman"/>
          <w:kern w:val="0"/>
          <w:sz w:val="24"/>
          <w:szCs w:val="24"/>
          <w14:ligatures w14:val="none"/>
        </w:rPr>
        <w:t>s and loan repayment programs.</w:t>
      </w:r>
      <w:r w:rsidR="00562FE1">
        <w:rPr>
          <w:rFonts w:ascii="Calibri" w:eastAsia="Calibri" w:hAnsi="Calibri" w:cs="Times New Roman"/>
          <w:kern w:val="0"/>
          <w:sz w:val="24"/>
          <w:szCs w:val="24"/>
          <w14:ligatures w14:val="none"/>
        </w:rPr>
        <w:t xml:space="preserve"> T</w:t>
      </w:r>
      <w:r w:rsidR="00096472">
        <w:rPr>
          <w:rFonts w:ascii="Calibri" w:eastAsia="Calibri" w:hAnsi="Calibri" w:cs="Times New Roman"/>
          <w:kern w:val="0"/>
          <w:sz w:val="24"/>
          <w:szCs w:val="24"/>
          <w14:ligatures w14:val="none"/>
        </w:rPr>
        <w:t xml:space="preserve">he IHS </w:t>
      </w:r>
      <w:r w:rsidR="00096472">
        <w:rPr>
          <w:rFonts w:ascii="Calibri" w:eastAsia="Calibri" w:hAnsi="Calibri" w:cs="Times New Roman"/>
          <w:kern w:val="0"/>
          <w:sz w:val="24"/>
          <w:szCs w:val="24"/>
          <w14:ligatures w14:val="none"/>
        </w:rPr>
        <w:lastRenderedPageBreak/>
        <w:t xml:space="preserve">now offers the IHS Development Program (EDP). </w:t>
      </w:r>
      <w:r w:rsidR="00A10D67">
        <w:rPr>
          <w:rFonts w:ascii="Calibri" w:eastAsia="Calibri" w:hAnsi="Calibri" w:cs="Times New Roman"/>
          <w:kern w:val="0"/>
          <w:sz w:val="24"/>
          <w:szCs w:val="24"/>
          <w14:ligatures w14:val="none"/>
        </w:rPr>
        <w:t>Scholarships included prepa</w:t>
      </w:r>
      <w:r w:rsidR="00E619FC">
        <w:rPr>
          <w:rFonts w:ascii="Calibri" w:eastAsia="Calibri" w:hAnsi="Calibri" w:cs="Times New Roman"/>
          <w:kern w:val="0"/>
          <w:sz w:val="24"/>
          <w:szCs w:val="24"/>
          <w14:ligatures w14:val="none"/>
        </w:rPr>
        <w:t xml:space="preserve">ratory &amp; pre-graduate scholarships and </w:t>
      </w:r>
      <w:r w:rsidR="00E03B56">
        <w:rPr>
          <w:rFonts w:ascii="Calibri" w:eastAsia="Calibri" w:hAnsi="Calibri" w:cs="Times New Roman"/>
          <w:kern w:val="0"/>
          <w:sz w:val="24"/>
          <w:szCs w:val="24"/>
          <w14:ligatures w14:val="none"/>
        </w:rPr>
        <w:t>health professions scholarships</w:t>
      </w:r>
      <w:r w:rsidR="00E357C7">
        <w:rPr>
          <w:rFonts w:ascii="Calibri" w:eastAsia="Calibri" w:hAnsi="Calibri" w:cs="Times New Roman"/>
          <w:kern w:val="0"/>
          <w:sz w:val="24"/>
          <w:szCs w:val="24"/>
          <w14:ligatures w14:val="none"/>
        </w:rPr>
        <w:t xml:space="preserve">. The FY 2024 budget includes $17.6M for scholarships. </w:t>
      </w:r>
    </w:p>
    <w:p w14:paraId="097A2DB8" w14:textId="77777777" w:rsidR="00E92AF2" w:rsidRDefault="00E92AF2" w:rsidP="003D545D">
      <w:pPr>
        <w:tabs>
          <w:tab w:val="left" w:pos="2640"/>
        </w:tabs>
        <w:spacing w:after="0" w:line="240" w:lineRule="auto"/>
        <w:rPr>
          <w:rFonts w:ascii="Calibri" w:eastAsia="Calibri" w:hAnsi="Calibri" w:cs="Times New Roman"/>
          <w:kern w:val="0"/>
          <w:sz w:val="24"/>
          <w:szCs w:val="24"/>
          <w14:ligatures w14:val="none"/>
        </w:rPr>
      </w:pPr>
    </w:p>
    <w:p w14:paraId="28AB4EFA" w14:textId="13687867" w:rsidR="00DD2D63" w:rsidRDefault="00E92AF2" w:rsidP="003D545D">
      <w:pPr>
        <w:tabs>
          <w:tab w:val="left" w:pos="2640"/>
        </w:tabs>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IHS Loan Repayment Program</w:t>
      </w:r>
      <w:r w:rsidR="00A11042">
        <w:rPr>
          <w:rFonts w:ascii="Calibri" w:eastAsia="Calibri" w:hAnsi="Calibri" w:cs="Times New Roman"/>
          <w:kern w:val="0"/>
          <w:sz w:val="24"/>
          <w:szCs w:val="24"/>
          <w14:ligatures w14:val="none"/>
        </w:rPr>
        <w:t xml:space="preserve"> now has initial contracts up to $50,000 in exchange for </w:t>
      </w:r>
      <w:r w:rsidR="00161EE4">
        <w:rPr>
          <w:rFonts w:ascii="Calibri" w:eastAsia="Calibri" w:hAnsi="Calibri" w:cs="Times New Roman"/>
          <w:kern w:val="0"/>
          <w:sz w:val="24"/>
          <w:szCs w:val="24"/>
          <w14:ligatures w14:val="none"/>
        </w:rPr>
        <w:t>2-year full-time, and they also offer</w:t>
      </w:r>
      <w:r w:rsidR="00E42E3F">
        <w:rPr>
          <w:rFonts w:ascii="Calibri" w:eastAsia="Calibri" w:hAnsi="Calibri" w:cs="Times New Roman"/>
          <w:kern w:val="0"/>
          <w:sz w:val="24"/>
          <w:szCs w:val="24"/>
          <w14:ligatures w14:val="none"/>
        </w:rPr>
        <w:t xml:space="preserve"> qualified </w:t>
      </w:r>
      <w:r w:rsidR="00161EE4">
        <w:rPr>
          <w:rFonts w:ascii="Calibri" w:eastAsia="Calibri" w:hAnsi="Calibri" w:cs="Times New Roman"/>
          <w:kern w:val="0"/>
          <w:sz w:val="24"/>
          <w:szCs w:val="24"/>
          <w14:ligatures w14:val="none"/>
        </w:rPr>
        <w:t>clinical practice and continuation/extension contract</w:t>
      </w:r>
      <w:r w:rsidR="00E42E3F">
        <w:rPr>
          <w:rFonts w:ascii="Calibri" w:eastAsia="Calibri" w:hAnsi="Calibri" w:cs="Times New Roman"/>
          <w:kern w:val="0"/>
          <w:sz w:val="24"/>
          <w:szCs w:val="24"/>
          <w14:ligatures w14:val="none"/>
        </w:rPr>
        <w:t>s</w:t>
      </w:r>
      <w:r w:rsidR="00161EE4">
        <w:rPr>
          <w:rFonts w:ascii="Calibri" w:eastAsia="Calibri" w:hAnsi="Calibri" w:cs="Times New Roman"/>
          <w:kern w:val="0"/>
          <w:sz w:val="24"/>
          <w:szCs w:val="24"/>
          <w14:ligatures w14:val="none"/>
        </w:rPr>
        <w:t xml:space="preserve"> up to $25,000 in exchange for an additional year</w:t>
      </w:r>
      <w:r w:rsidR="00E42E3F">
        <w:rPr>
          <w:rFonts w:ascii="Calibri" w:eastAsia="Calibri" w:hAnsi="Calibri" w:cs="Times New Roman"/>
          <w:kern w:val="0"/>
          <w:sz w:val="24"/>
          <w:szCs w:val="24"/>
          <w14:ligatures w14:val="none"/>
        </w:rPr>
        <w:t xml:space="preserve"> of service until all </w:t>
      </w:r>
      <w:r w:rsidR="00FC2DE6">
        <w:rPr>
          <w:rFonts w:ascii="Calibri" w:eastAsia="Calibri" w:hAnsi="Calibri" w:cs="Times New Roman"/>
          <w:kern w:val="0"/>
          <w:sz w:val="24"/>
          <w:szCs w:val="24"/>
          <w14:ligatures w14:val="none"/>
        </w:rPr>
        <w:t>qualified</w:t>
      </w:r>
      <w:r w:rsidR="00E42E3F">
        <w:rPr>
          <w:rFonts w:ascii="Calibri" w:eastAsia="Calibri" w:hAnsi="Calibri" w:cs="Times New Roman"/>
          <w:kern w:val="0"/>
          <w:sz w:val="24"/>
          <w:szCs w:val="24"/>
          <w14:ligatures w14:val="none"/>
        </w:rPr>
        <w:t xml:space="preserve"> education loans are paid. </w:t>
      </w:r>
      <w:r w:rsidR="00FC2DE6">
        <w:rPr>
          <w:rFonts w:ascii="Calibri" w:eastAsia="Calibri" w:hAnsi="Calibri" w:cs="Times New Roman"/>
          <w:kern w:val="0"/>
          <w:sz w:val="24"/>
          <w:szCs w:val="24"/>
          <w14:ligatures w14:val="none"/>
        </w:rPr>
        <w:t xml:space="preserve">The awards are taxed at a rate of 24%; however, the IHS pays this additional cost. </w:t>
      </w:r>
    </w:p>
    <w:p w14:paraId="75751A60" w14:textId="77777777" w:rsidR="00033961" w:rsidRDefault="00033961" w:rsidP="003D545D">
      <w:pPr>
        <w:tabs>
          <w:tab w:val="left" w:pos="2640"/>
        </w:tabs>
        <w:spacing w:after="0" w:line="240" w:lineRule="auto"/>
        <w:rPr>
          <w:rFonts w:ascii="Calibri" w:eastAsia="Calibri" w:hAnsi="Calibri" w:cs="Times New Roman"/>
          <w:kern w:val="0"/>
          <w:sz w:val="24"/>
          <w:szCs w:val="24"/>
          <w14:ligatures w14:val="none"/>
        </w:rPr>
      </w:pPr>
    </w:p>
    <w:p w14:paraId="2110C72D" w14:textId="4AE2D316" w:rsidR="00734F88" w:rsidRDefault="005F4395" w:rsidP="003D545D">
      <w:pPr>
        <w:tabs>
          <w:tab w:val="left" w:pos="2640"/>
        </w:tabs>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Commission Corps has over 5,000 officers</w:t>
      </w:r>
      <w:r w:rsidR="00631B8F">
        <w:rPr>
          <w:rFonts w:ascii="Calibri" w:eastAsia="Calibri" w:hAnsi="Calibri" w:cs="Times New Roman"/>
          <w:kern w:val="0"/>
          <w:sz w:val="24"/>
          <w:szCs w:val="24"/>
          <w14:ligatures w14:val="none"/>
        </w:rPr>
        <w:t>,</w:t>
      </w:r>
      <w:r>
        <w:rPr>
          <w:rFonts w:ascii="Calibri" w:eastAsia="Calibri" w:hAnsi="Calibri" w:cs="Times New Roman"/>
          <w:kern w:val="0"/>
          <w:sz w:val="24"/>
          <w:szCs w:val="24"/>
          <w14:ligatures w14:val="none"/>
        </w:rPr>
        <w:t xml:space="preserve"> of which over 1,200 </w:t>
      </w:r>
      <w:r w:rsidR="00233D90">
        <w:rPr>
          <w:rFonts w:ascii="Calibri" w:eastAsia="Calibri" w:hAnsi="Calibri" w:cs="Times New Roman"/>
          <w:kern w:val="0"/>
          <w:sz w:val="24"/>
          <w:szCs w:val="24"/>
          <w14:ligatures w14:val="none"/>
        </w:rPr>
        <w:t>(414 at federal facilities and 861 at tribal/urban facilities)</w:t>
      </w:r>
      <w:r w:rsidR="00631B8F">
        <w:rPr>
          <w:rFonts w:ascii="Calibri" w:eastAsia="Calibri" w:hAnsi="Calibri" w:cs="Times New Roman"/>
          <w:kern w:val="0"/>
          <w:sz w:val="24"/>
          <w:szCs w:val="24"/>
          <w14:ligatures w14:val="none"/>
        </w:rPr>
        <w:t xml:space="preserve"> </w:t>
      </w:r>
      <w:r>
        <w:rPr>
          <w:rFonts w:ascii="Calibri" w:eastAsia="Calibri" w:hAnsi="Calibri" w:cs="Times New Roman"/>
          <w:kern w:val="0"/>
          <w:sz w:val="24"/>
          <w:szCs w:val="24"/>
          <w14:ligatures w14:val="none"/>
        </w:rPr>
        <w:t>are detailed to the IHS</w:t>
      </w:r>
      <w:r w:rsidR="00631B8F">
        <w:rPr>
          <w:rFonts w:ascii="Calibri" w:eastAsia="Calibri" w:hAnsi="Calibri" w:cs="Times New Roman"/>
          <w:kern w:val="0"/>
          <w:sz w:val="24"/>
          <w:szCs w:val="24"/>
          <w14:ligatures w14:val="none"/>
        </w:rPr>
        <w:t xml:space="preserve">. </w:t>
      </w:r>
      <w:r w:rsidR="00AB4605">
        <w:rPr>
          <w:rFonts w:ascii="Calibri" w:eastAsia="Calibri" w:hAnsi="Calibri" w:cs="Times New Roman"/>
          <w:kern w:val="0"/>
          <w:sz w:val="24"/>
          <w:szCs w:val="24"/>
          <w14:ligatures w14:val="none"/>
        </w:rPr>
        <w:t xml:space="preserve">The IHS ranks the recruitment </w:t>
      </w:r>
      <w:r w:rsidR="003B3279">
        <w:rPr>
          <w:rFonts w:ascii="Calibri" w:eastAsia="Calibri" w:hAnsi="Calibri" w:cs="Times New Roman"/>
          <w:kern w:val="0"/>
          <w:sz w:val="24"/>
          <w:szCs w:val="24"/>
          <w14:ligatures w14:val="none"/>
        </w:rPr>
        <w:t xml:space="preserve">category </w:t>
      </w:r>
      <w:r w:rsidR="00734F88">
        <w:rPr>
          <w:rFonts w:ascii="Calibri" w:eastAsia="Calibri" w:hAnsi="Calibri" w:cs="Times New Roman"/>
          <w:kern w:val="0"/>
          <w:sz w:val="24"/>
          <w:szCs w:val="24"/>
          <w14:ligatures w14:val="none"/>
        </w:rPr>
        <w:t>prioritization in the following order</w:t>
      </w:r>
      <w:r w:rsidR="00D2569C">
        <w:rPr>
          <w:rFonts w:ascii="Calibri" w:eastAsia="Calibri" w:hAnsi="Calibri" w:cs="Times New Roman"/>
          <w:kern w:val="0"/>
          <w:sz w:val="24"/>
          <w:szCs w:val="24"/>
          <w14:ligatures w14:val="none"/>
        </w:rPr>
        <w:t>:</w:t>
      </w:r>
    </w:p>
    <w:p w14:paraId="1A4A088C" w14:textId="77777777" w:rsidR="00734F88" w:rsidRDefault="00734F88" w:rsidP="003D545D">
      <w:pPr>
        <w:tabs>
          <w:tab w:val="left" w:pos="2640"/>
        </w:tabs>
        <w:spacing w:after="0" w:line="240" w:lineRule="auto"/>
        <w:rPr>
          <w:rFonts w:ascii="Calibri" w:eastAsia="Calibri" w:hAnsi="Calibri" w:cs="Times New Roman"/>
          <w:kern w:val="0"/>
          <w:sz w:val="24"/>
          <w:szCs w:val="24"/>
          <w14:ligatures w14:val="none"/>
        </w:rPr>
      </w:pPr>
    </w:p>
    <w:p w14:paraId="3AD60B8B" w14:textId="119E52E7" w:rsidR="00734F88" w:rsidRDefault="00734F88" w:rsidP="00734F88">
      <w:pPr>
        <w:pStyle w:val="ListParagraph"/>
        <w:numPr>
          <w:ilvl w:val="0"/>
          <w:numId w:val="2"/>
        </w:numPr>
        <w:tabs>
          <w:tab w:val="left" w:pos="2640"/>
        </w:tabs>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Underserved Populations</w:t>
      </w:r>
    </w:p>
    <w:p w14:paraId="6ADF58AF" w14:textId="21F8F070" w:rsidR="00734F88" w:rsidRDefault="00734F88" w:rsidP="00734F88">
      <w:pPr>
        <w:pStyle w:val="ListParagraph"/>
        <w:numPr>
          <w:ilvl w:val="0"/>
          <w:numId w:val="2"/>
        </w:numPr>
        <w:tabs>
          <w:tab w:val="left" w:pos="2640"/>
        </w:tabs>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Critical</w:t>
      </w:r>
    </w:p>
    <w:p w14:paraId="5CDB01A6" w14:textId="388D05B9" w:rsidR="00734F88" w:rsidRDefault="00734F88" w:rsidP="00734F88">
      <w:pPr>
        <w:pStyle w:val="ListParagraph"/>
        <w:numPr>
          <w:ilvl w:val="0"/>
          <w:numId w:val="2"/>
        </w:numPr>
        <w:tabs>
          <w:tab w:val="left" w:pos="2640"/>
        </w:tabs>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Hazardous and Health Safety</w:t>
      </w:r>
    </w:p>
    <w:p w14:paraId="3B05692E" w14:textId="225C529F" w:rsidR="00734F88" w:rsidRDefault="00734F88" w:rsidP="00734F88">
      <w:pPr>
        <w:pStyle w:val="ListParagraph"/>
        <w:numPr>
          <w:ilvl w:val="0"/>
          <w:numId w:val="2"/>
        </w:numPr>
        <w:tabs>
          <w:tab w:val="left" w:pos="2640"/>
        </w:tabs>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Difficult to Retain</w:t>
      </w:r>
    </w:p>
    <w:p w14:paraId="18E11D91" w14:textId="37FFA2E0" w:rsidR="003B3279" w:rsidRDefault="003B3279" w:rsidP="00734F88">
      <w:pPr>
        <w:pStyle w:val="ListParagraph"/>
        <w:numPr>
          <w:ilvl w:val="0"/>
          <w:numId w:val="2"/>
        </w:numPr>
        <w:tabs>
          <w:tab w:val="left" w:pos="2640"/>
        </w:tabs>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Deployment and Leadership</w:t>
      </w:r>
    </w:p>
    <w:p w14:paraId="048398A0" w14:textId="77777777" w:rsidR="00416B7B" w:rsidRDefault="00416B7B" w:rsidP="00416B7B">
      <w:pPr>
        <w:tabs>
          <w:tab w:val="left" w:pos="2640"/>
        </w:tabs>
        <w:spacing w:after="0" w:line="240" w:lineRule="auto"/>
        <w:rPr>
          <w:rFonts w:ascii="Calibri" w:eastAsia="Calibri" w:hAnsi="Calibri" w:cs="Times New Roman"/>
          <w:kern w:val="0"/>
          <w:sz w:val="24"/>
          <w:szCs w:val="24"/>
          <w14:ligatures w14:val="none"/>
        </w:rPr>
      </w:pPr>
    </w:p>
    <w:p w14:paraId="32B00317" w14:textId="30EE9C5A" w:rsidR="00416B7B" w:rsidRDefault="00416B7B" w:rsidP="00416B7B">
      <w:pPr>
        <w:tabs>
          <w:tab w:val="left" w:pos="2640"/>
        </w:tabs>
        <w:spacing w:after="0" w:line="240" w:lineRule="auto"/>
        <w:rPr>
          <w:rFonts w:ascii="Calibri" w:eastAsia="Calibri" w:hAnsi="Calibri" w:cs="Times New Roman"/>
          <w:b/>
          <w:bCs/>
          <w:kern w:val="0"/>
          <w:sz w:val="24"/>
          <w:szCs w:val="24"/>
          <w14:ligatures w14:val="none"/>
        </w:rPr>
      </w:pPr>
      <w:r w:rsidRPr="00416B7B">
        <w:rPr>
          <w:rFonts w:ascii="Calibri" w:eastAsia="Calibri" w:hAnsi="Calibri" w:cs="Times New Roman"/>
          <w:b/>
          <w:bCs/>
          <w:kern w:val="0"/>
          <w:sz w:val="24"/>
          <w:szCs w:val="24"/>
          <w14:ligatures w14:val="none"/>
        </w:rPr>
        <w:t>Strategic Plan</w:t>
      </w:r>
    </w:p>
    <w:p w14:paraId="4E3363AB" w14:textId="2869A5B2" w:rsidR="00416B7B" w:rsidRDefault="00416B7B" w:rsidP="00416B7B">
      <w:pPr>
        <w:tabs>
          <w:tab w:val="left" w:pos="2640"/>
        </w:tabs>
        <w:spacing w:after="0" w:line="240" w:lineRule="auto"/>
        <w:rPr>
          <w:rFonts w:ascii="Calibri" w:eastAsia="Calibri" w:hAnsi="Calibri" w:cs="Times New Roman"/>
          <w:b/>
          <w:bCs/>
          <w:kern w:val="0"/>
          <w:sz w:val="24"/>
          <w:szCs w:val="24"/>
          <w14:ligatures w14:val="none"/>
        </w:rPr>
      </w:pPr>
    </w:p>
    <w:p w14:paraId="292CDF91" w14:textId="107DBB77" w:rsidR="00640BFB" w:rsidRDefault="00E20D32" w:rsidP="00416B7B">
      <w:pPr>
        <w:tabs>
          <w:tab w:val="left" w:pos="2640"/>
        </w:tabs>
        <w:spacing w:after="0" w:line="240" w:lineRule="auto"/>
        <w:rPr>
          <w:rFonts w:ascii="Calibri" w:eastAsia="Calibri" w:hAnsi="Calibri" w:cs="Times New Roman"/>
          <w:kern w:val="0"/>
          <w:sz w:val="24"/>
          <w:szCs w:val="24"/>
          <w14:ligatures w14:val="none"/>
        </w:rPr>
      </w:pPr>
      <w:r w:rsidRPr="00A2553D">
        <w:rPr>
          <w:rFonts w:ascii="Calibri" w:eastAsia="Calibri" w:hAnsi="Calibri" w:cs="Times New Roman"/>
          <w:kern w:val="0"/>
          <w:sz w:val="24"/>
          <w:szCs w:val="24"/>
          <w14:ligatures w14:val="none"/>
        </w:rPr>
        <w:t>The draft strategic plan FYs 2024 – 2028 contains a background section and outlines strategic goal</w:t>
      </w:r>
      <w:r w:rsidR="00A2553D" w:rsidRPr="00A2553D">
        <w:rPr>
          <w:rFonts w:ascii="Calibri" w:eastAsia="Calibri" w:hAnsi="Calibri" w:cs="Times New Roman"/>
          <w:kern w:val="0"/>
          <w:sz w:val="24"/>
          <w:szCs w:val="24"/>
          <w14:ligatures w14:val="none"/>
        </w:rPr>
        <w:t>s 1, 2, and 3.</w:t>
      </w:r>
      <w:r w:rsidR="00640BFB">
        <w:rPr>
          <w:rFonts w:ascii="Calibri" w:eastAsia="Calibri" w:hAnsi="Calibri" w:cs="Times New Roman"/>
          <w:kern w:val="0"/>
          <w:sz w:val="24"/>
          <w:szCs w:val="24"/>
          <w14:ligatures w14:val="none"/>
        </w:rPr>
        <w:t xml:space="preserve"> Goal 1 is to provide comprehensive</w:t>
      </w:r>
      <w:r w:rsidR="005F7CC0">
        <w:rPr>
          <w:rFonts w:ascii="Calibri" w:eastAsia="Calibri" w:hAnsi="Calibri" w:cs="Times New Roman"/>
          <w:kern w:val="0"/>
          <w:sz w:val="24"/>
          <w:szCs w:val="24"/>
          <w14:ligatures w14:val="none"/>
        </w:rPr>
        <w:t>, culturally grounded personal and public health services to American Indian and Alaska Native people. Goal 2 is t</w:t>
      </w:r>
      <w:r w:rsidR="00EC3614">
        <w:rPr>
          <w:rFonts w:ascii="Calibri" w:eastAsia="Calibri" w:hAnsi="Calibri" w:cs="Times New Roman"/>
          <w:kern w:val="0"/>
          <w:sz w:val="24"/>
          <w:szCs w:val="24"/>
          <w14:ligatures w14:val="none"/>
        </w:rPr>
        <w:t>ransforming</w:t>
      </w:r>
      <w:r w:rsidR="005F7CC0">
        <w:rPr>
          <w:rFonts w:ascii="Calibri" w:eastAsia="Calibri" w:hAnsi="Calibri" w:cs="Times New Roman"/>
          <w:kern w:val="0"/>
          <w:sz w:val="24"/>
          <w:szCs w:val="24"/>
          <w14:ligatures w14:val="none"/>
        </w:rPr>
        <w:t xml:space="preserve"> the IHS into a High</w:t>
      </w:r>
      <w:r w:rsidR="00EC3614">
        <w:rPr>
          <w:rFonts w:ascii="Calibri" w:eastAsia="Calibri" w:hAnsi="Calibri" w:cs="Times New Roman"/>
          <w:kern w:val="0"/>
          <w:sz w:val="24"/>
          <w:szCs w:val="24"/>
          <w14:ligatures w14:val="none"/>
        </w:rPr>
        <w:t>-</w:t>
      </w:r>
      <w:r w:rsidR="005F7CC0">
        <w:rPr>
          <w:rFonts w:ascii="Calibri" w:eastAsia="Calibri" w:hAnsi="Calibri" w:cs="Times New Roman"/>
          <w:kern w:val="0"/>
          <w:sz w:val="24"/>
          <w:szCs w:val="24"/>
          <w14:ligatures w14:val="none"/>
        </w:rPr>
        <w:t xml:space="preserve">Reliability </w:t>
      </w:r>
      <w:r w:rsidR="00F55B8D">
        <w:rPr>
          <w:rFonts w:ascii="Calibri" w:eastAsia="Calibri" w:hAnsi="Calibri" w:cs="Times New Roman"/>
          <w:kern w:val="0"/>
          <w:sz w:val="24"/>
          <w:szCs w:val="24"/>
          <w14:ligatures w14:val="none"/>
        </w:rPr>
        <w:t xml:space="preserve">Organization (HRO). Goal 3 is to improve communication, program management, and operations. </w:t>
      </w:r>
    </w:p>
    <w:p w14:paraId="4279D9C1" w14:textId="77777777" w:rsidR="00D77153" w:rsidRDefault="00D77153" w:rsidP="00416B7B">
      <w:pPr>
        <w:tabs>
          <w:tab w:val="left" w:pos="2640"/>
        </w:tabs>
        <w:spacing w:after="0" w:line="240" w:lineRule="auto"/>
        <w:rPr>
          <w:rFonts w:ascii="Calibri" w:eastAsia="Calibri" w:hAnsi="Calibri" w:cs="Times New Roman"/>
          <w:kern w:val="0"/>
          <w:sz w:val="24"/>
          <w:szCs w:val="24"/>
          <w14:ligatures w14:val="none"/>
        </w:rPr>
      </w:pPr>
    </w:p>
    <w:p w14:paraId="1057A8F8" w14:textId="4EC91CA4" w:rsidR="00E20D32" w:rsidRDefault="0017008D" w:rsidP="00416B7B">
      <w:pPr>
        <w:tabs>
          <w:tab w:val="left" w:pos="2640"/>
        </w:tabs>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plan was developed based on feedback received from Headquarters Offices</w:t>
      </w:r>
      <w:r w:rsidR="008A5CD0">
        <w:rPr>
          <w:rFonts w:ascii="Calibri" w:eastAsia="Calibri" w:hAnsi="Calibri" w:cs="Times New Roman"/>
          <w:kern w:val="0"/>
          <w:sz w:val="24"/>
          <w:szCs w:val="24"/>
          <w14:ligatures w14:val="none"/>
        </w:rPr>
        <w:t xml:space="preserve">. The IHS </w:t>
      </w:r>
      <w:r w:rsidR="005D4419">
        <w:rPr>
          <w:rFonts w:ascii="Calibri" w:eastAsia="Calibri" w:hAnsi="Calibri" w:cs="Times New Roman"/>
          <w:kern w:val="0"/>
          <w:sz w:val="24"/>
          <w:szCs w:val="24"/>
          <w14:ligatures w14:val="none"/>
        </w:rPr>
        <w:t>is reviewing</w:t>
      </w:r>
      <w:r w:rsidR="008A5CD0">
        <w:rPr>
          <w:rFonts w:ascii="Calibri" w:eastAsia="Calibri" w:hAnsi="Calibri" w:cs="Times New Roman"/>
          <w:kern w:val="0"/>
          <w:sz w:val="24"/>
          <w:szCs w:val="24"/>
          <w14:ligatures w14:val="none"/>
        </w:rPr>
        <w:t xml:space="preserve"> input from Tribes, tribal advocates, </w:t>
      </w:r>
      <w:r w:rsidR="00557F06">
        <w:rPr>
          <w:rFonts w:ascii="Calibri" w:eastAsia="Calibri" w:hAnsi="Calibri" w:cs="Times New Roman"/>
          <w:kern w:val="0"/>
          <w:sz w:val="24"/>
          <w:szCs w:val="24"/>
          <w14:ligatures w14:val="none"/>
        </w:rPr>
        <w:t xml:space="preserve">IHS employees, and several advisory committees. </w:t>
      </w:r>
      <w:r w:rsidR="00D77153">
        <w:rPr>
          <w:rFonts w:ascii="Calibri" w:eastAsia="Calibri" w:hAnsi="Calibri" w:cs="Times New Roman"/>
          <w:kern w:val="0"/>
          <w:sz w:val="24"/>
          <w:szCs w:val="24"/>
          <w14:ligatures w14:val="none"/>
        </w:rPr>
        <w:t xml:space="preserve">The current status of the IHS </w:t>
      </w:r>
      <w:r w:rsidR="00927620">
        <w:rPr>
          <w:rFonts w:ascii="Calibri" w:eastAsia="Calibri" w:hAnsi="Calibri" w:cs="Times New Roman"/>
          <w:kern w:val="0"/>
          <w:sz w:val="24"/>
          <w:szCs w:val="24"/>
          <w14:ligatures w14:val="none"/>
        </w:rPr>
        <w:t xml:space="preserve">Strategic Plan can be viewed at </w:t>
      </w:r>
      <w:hyperlink r:id="rId7" w:history="1">
        <w:r w:rsidR="00BD55C8" w:rsidRPr="00782ADC">
          <w:rPr>
            <w:rStyle w:val="Hyperlink"/>
            <w:rFonts w:ascii="Calibri" w:eastAsia="Calibri" w:hAnsi="Calibri" w:cs="Times New Roman"/>
            <w:kern w:val="0"/>
            <w:sz w:val="24"/>
            <w:szCs w:val="24"/>
            <w14:ligatures w14:val="none"/>
          </w:rPr>
          <w:t>www.ihs.gov/strategicplan/</w:t>
        </w:r>
      </w:hyperlink>
      <w:r w:rsidR="00BD55C8">
        <w:rPr>
          <w:rFonts w:ascii="Calibri" w:eastAsia="Calibri" w:hAnsi="Calibri" w:cs="Times New Roman"/>
          <w:kern w:val="0"/>
          <w:sz w:val="24"/>
          <w:szCs w:val="24"/>
          <w14:ligatures w14:val="none"/>
        </w:rPr>
        <w:t xml:space="preserve">. </w:t>
      </w:r>
      <w:r w:rsidR="00F5078E">
        <w:rPr>
          <w:rFonts w:ascii="Calibri" w:eastAsia="Calibri" w:hAnsi="Calibri" w:cs="Times New Roman"/>
          <w:kern w:val="0"/>
          <w:sz w:val="24"/>
          <w:szCs w:val="24"/>
          <w14:ligatures w14:val="none"/>
        </w:rPr>
        <w:t xml:space="preserve">Tribal consultation, urban confer, and IHS employee town halls were completed by June 28, 2024. </w:t>
      </w:r>
      <w:r w:rsidR="00910D9B">
        <w:rPr>
          <w:rFonts w:ascii="Calibri" w:eastAsia="Calibri" w:hAnsi="Calibri" w:cs="Times New Roman"/>
          <w:kern w:val="0"/>
          <w:sz w:val="24"/>
          <w:szCs w:val="24"/>
          <w14:ligatures w14:val="none"/>
        </w:rPr>
        <w:t>The TSGAC recommended that the IHS develop a public Strategic Plan Scorecard, an evaluation or monitoring mechan</w:t>
      </w:r>
      <w:r w:rsidR="00C12BCA">
        <w:rPr>
          <w:rFonts w:ascii="Calibri" w:eastAsia="Calibri" w:hAnsi="Calibri" w:cs="Times New Roman"/>
          <w:kern w:val="0"/>
          <w:sz w:val="24"/>
          <w:szCs w:val="24"/>
          <w14:ligatures w14:val="none"/>
        </w:rPr>
        <w:t xml:space="preserve">ism, and add tribal consultation requirements </w:t>
      </w:r>
      <w:r w:rsidR="00C82ED7">
        <w:rPr>
          <w:rFonts w:ascii="Calibri" w:eastAsia="Calibri" w:hAnsi="Calibri" w:cs="Times New Roman"/>
          <w:kern w:val="0"/>
          <w:sz w:val="24"/>
          <w:szCs w:val="24"/>
          <w14:ligatures w14:val="none"/>
        </w:rPr>
        <w:t>to</w:t>
      </w:r>
      <w:r w:rsidR="00C12BCA">
        <w:rPr>
          <w:rFonts w:ascii="Calibri" w:eastAsia="Calibri" w:hAnsi="Calibri" w:cs="Times New Roman"/>
          <w:kern w:val="0"/>
          <w:sz w:val="24"/>
          <w:szCs w:val="24"/>
          <w14:ligatures w14:val="none"/>
        </w:rPr>
        <w:t xml:space="preserve"> </w:t>
      </w:r>
      <w:r w:rsidR="00C82ED7">
        <w:rPr>
          <w:rFonts w:ascii="Calibri" w:eastAsia="Calibri" w:hAnsi="Calibri" w:cs="Times New Roman"/>
          <w:kern w:val="0"/>
          <w:sz w:val="24"/>
          <w:szCs w:val="24"/>
          <w14:ligatures w14:val="none"/>
        </w:rPr>
        <w:t xml:space="preserve">the </w:t>
      </w:r>
      <w:r w:rsidR="00C12BCA">
        <w:rPr>
          <w:rFonts w:ascii="Calibri" w:eastAsia="Calibri" w:hAnsi="Calibri" w:cs="Times New Roman"/>
          <w:kern w:val="0"/>
          <w:sz w:val="24"/>
          <w:szCs w:val="24"/>
          <w14:ligatures w14:val="none"/>
        </w:rPr>
        <w:t>plan</w:t>
      </w:r>
      <w:r w:rsidR="00CF593D">
        <w:rPr>
          <w:rFonts w:ascii="Calibri" w:eastAsia="Calibri" w:hAnsi="Calibri" w:cs="Times New Roman"/>
          <w:kern w:val="0"/>
          <w:sz w:val="24"/>
          <w:szCs w:val="24"/>
          <w14:ligatures w14:val="none"/>
        </w:rPr>
        <w:t>'</w:t>
      </w:r>
      <w:r w:rsidR="00C12BCA">
        <w:rPr>
          <w:rFonts w:ascii="Calibri" w:eastAsia="Calibri" w:hAnsi="Calibri" w:cs="Times New Roman"/>
          <w:kern w:val="0"/>
          <w:sz w:val="24"/>
          <w:szCs w:val="24"/>
          <w14:ligatures w14:val="none"/>
        </w:rPr>
        <w:t>s objectives</w:t>
      </w:r>
      <w:r w:rsidR="00C82ED7">
        <w:rPr>
          <w:rFonts w:ascii="Calibri" w:eastAsia="Calibri" w:hAnsi="Calibri" w:cs="Times New Roman"/>
          <w:kern w:val="0"/>
          <w:sz w:val="24"/>
          <w:szCs w:val="24"/>
          <w14:ligatures w14:val="none"/>
        </w:rPr>
        <w:t xml:space="preserve">/activities. </w:t>
      </w:r>
    </w:p>
    <w:p w14:paraId="3A49D5A2" w14:textId="77777777" w:rsidR="00C82ED7" w:rsidRDefault="00C82ED7" w:rsidP="00416B7B">
      <w:pPr>
        <w:tabs>
          <w:tab w:val="left" w:pos="2640"/>
        </w:tabs>
        <w:spacing w:after="0" w:line="240" w:lineRule="auto"/>
        <w:rPr>
          <w:rFonts w:ascii="Calibri" w:eastAsia="Calibri" w:hAnsi="Calibri" w:cs="Times New Roman"/>
          <w:kern w:val="0"/>
          <w:sz w:val="24"/>
          <w:szCs w:val="24"/>
          <w14:ligatures w14:val="none"/>
        </w:rPr>
      </w:pPr>
    </w:p>
    <w:p w14:paraId="28B1D699" w14:textId="17AF0726" w:rsidR="00C82ED7" w:rsidRPr="00A2553D" w:rsidRDefault="00D64E46" w:rsidP="00416B7B">
      <w:pPr>
        <w:tabs>
          <w:tab w:val="left" w:pos="2640"/>
        </w:tabs>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w:t>
      </w:r>
      <w:r w:rsidR="00621C4A">
        <w:rPr>
          <w:rFonts w:ascii="Calibri" w:eastAsia="Calibri" w:hAnsi="Calibri" w:cs="Times New Roman"/>
          <w:kern w:val="0"/>
          <w:sz w:val="24"/>
          <w:szCs w:val="24"/>
          <w14:ligatures w14:val="none"/>
        </w:rPr>
        <w:t xml:space="preserve"> IHS will now compile and review all feedback on the revised draft IHS SP. </w:t>
      </w:r>
      <w:r w:rsidR="008734A1">
        <w:rPr>
          <w:rFonts w:ascii="Calibri" w:eastAsia="Calibri" w:hAnsi="Calibri" w:cs="Times New Roman"/>
          <w:kern w:val="0"/>
          <w:sz w:val="24"/>
          <w:szCs w:val="24"/>
          <w14:ligatures w14:val="none"/>
        </w:rPr>
        <w:t xml:space="preserve">The revised draft will be submitted to the IHS Executive Leadership Team for review and approval. </w:t>
      </w:r>
      <w:r w:rsidR="00016A2D">
        <w:rPr>
          <w:rFonts w:ascii="Calibri" w:eastAsia="Calibri" w:hAnsi="Calibri" w:cs="Times New Roman"/>
          <w:kern w:val="0"/>
          <w:sz w:val="24"/>
          <w:szCs w:val="24"/>
          <w14:ligatures w14:val="none"/>
        </w:rPr>
        <w:t>The plan will go to the HHS for review. Finally, the IHS will publish the DTLL/DUIOLL with</w:t>
      </w:r>
      <w:r w:rsidR="00043CB5">
        <w:rPr>
          <w:rFonts w:ascii="Calibri" w:eastAsia="Calibri" w:hAnsi="Calibri" w:cs="Times New Roman"/>
          <w:kern w:val="0"/>
          <w:sz w:val="24"/>
          <w:szCs w:val="24"/>
          <w14:ligatures w14:val="none"/>
        </w:rPr>
        <w:t xml:space="preserve"> the Strategic Plan for FYs 2024-2028. </w:t>
      </w:r>
    </w:p>
    <w:p w14:paraId="6DA8B1B9" w14:textId="77777777" w:rsidR="003B3279" w:rsidRPr="00734F88" w:rsidRDefault="003B3279" w:rsidP="003B3279">
      <w:pPr>
        <w:pStyle w:val="ListParagraph"/>
        <w:tabs>
          <w:tab w:val="left" w:pos="2640"/>
        </w:tabs>
        <w:spacing w:after="0" w:line="240" w:lineRule="auto"/>
        <w:rPr>
          <w:rFonts w:ascii="Calibri" w:eastAsia="Calibri" w:hAnsi="Calibri" w:cs="Times New Roman"/>
          <w:kern w:val="0"/>
          <w:sz w:val="24"/>
          <w:szCs w:val="24"/>
          <w14:ligatures w14:val="none"/>
        </w:rPr>
      </w:pPr>
    </w:p>
    <w:p w14:paraId="6FD64775" w14:textId="77777777" w:rsidR="00B4713A" w:rsidRDefault="00B4713A" w:rsidP="003D545D">
      <w:pPr>
        <w:tabs>
          <w:tab w:val="left" w:pos="2640"/>
        </w:tabs>
        <w:spacing w:after="0" w:line="240" w:lineRule="auto"/>
        <w:rPr>
          <w:rFonts w:ascii="Calibri" w:eastAsia="Calibri" w:hAnsi="Calibri" w:cs="Times New Roman"/>
          <w:i/>
          <w:iCs/>
          <w:kern w:val="0"/>
          <w:sz w:val="24"/>
          <w:szCs w:val="24"/>
          <w14:ligatures w14:val="none"/>
        </w:rPr>
      </w:pPr>
    </w:p>
    <w:p w14:paraId="7607304B" w14:textId="77777777" w:rsidR="00B4713A" w:rsidRPr="003D545D" w:rsidRDefault="00B4713A" w:rsidP="003D545D">
      <w:pPr>
        <w:tabs>
          <w:tab w:val="left" w:pos="2640"/>
        </w:tabs>
        <w:spacing w:after="0" w:line="240" w:lineRule="auto"/>
        <w:rPr>
          <w:rFonts w:ascii="Calibri" w:eastAsia="Calibri" w:hAnsi="Calibri" w:cs="Times New Roman"/>
          <w:i/>
          <w:iCs/>
          <w:kern w:val="0"/>
          <w:sz w:val="24"/>
          <w:szCs w:val="24"/>
          <w14:ligatures w14:val="none"/>
        </w:rPr>
      </w:pPr>
    </w:p>
    <w:p w14:paraId="30670A0C" w14:textId="77777777" w:rsidR="0048526B" w:rsidRPr="00972B2B" w:rsidRDefault="0048526B" w:rsidP="0048526B">
      <w:pPr>
        <w:tabs>
          <w:tab w:val="left" w:pos="2640"/>
        </w:tabs>
        <w:spacing w:after="0" w:line="240" w:lineRule="auto"/>
        <w:rPr>
          <w:rFonts w:ascii="Calibri" w:eastAsia="Calibri" w:hAnsi="Calibri" w:cs="Times New Roman"/>
          <w:kern w:val="0"/>
          <w:sz w:val="24"/>
          <w:szCs w:val="24"/>
          <w14:ligatures w14:val="none"/>
        </w:rPr>
      </w:pPr>
    </w:p>
    <w:p w14:paraId="7BF92CC5" w14:textId="146EA3F5" w:rsidR="0048526B" w:rsidRDefault="003E73F8" w:rsidP="0048526B">
      <w:pPr>
        <w:spacing w:after="0" w:line="240" w:lineRule="auto"/>
        <w:jc w:val="center"/>
        <w:rPr>
          <w:rFonts w:ascii="Calibri" w:eastAsia="Calibri" w:hAnsi="Calibri" w:cs="Times New Roman"/>
          <w:b/>
          <w:bCs/>
          <w:kern w:val="0"/>
          <w:sz w:val="24"/>
          <w:szCs w:val="24"/>
          <w14:ligatures w14:val="none"/>
        </w:rPr>
      </w:pPr>
      <w:r>
        <w:rPr>
          <w:rFonts w:ascii="Calibri" w:eastAsia="Calibri" w:hAnsi="Calibri" w:cs="Times New Roman"/>
          <w:b/>
          <w:bCs/>
          <w:kern w:val="0"/>
          <w:sz w:val="24"/>
          <w:szCs w:val="24"/>
          <w14:ligatures w14:val="none"/>
        </w:rPr>
        <w:lastRenderedPageBreak/>
        <w:t>Tuesday</w:t>
      </w:r>
      <w:r w:rsidR="0048526B">
        <w:rPr>
          <w:rFonts w:ascii="Calibri" w:eastAsia="Calibri" w:hAnsi="Calibri" w:cs="Times New Roman"/>
          <w:b/>
          <w:bCs/>
          <w:kern w:val="0"/>
          <w:sz w:val="24"/>
          <w:szCs w:val="24"/>
          <w14:ligatures w14:val="none"/>
        </w:rPr>
        <w:t xml:space="preserve">, </w:t>
      </w:r>
      <w:r w:rsidR="003B15DF">
        <w:rPr>
          <w:rFonts w:ascii="Calibri" w:eastAsia="Calibri" w:hAnsi="Calibri" w:cs="Times New Roman"/>
          <w:b/>
          <w:bCs/>
          <w:kern w:val="0"/>
          <w:sz w:val="24"/>
          <w:szCs w:val="24"/>
          <w14:ligatures w14:val="none"/>
        </w:rPr>
        <w:t>July 23</w:t>
      </w:r>
    </w:p>
    <w:p w14:paraId="71DECD7A" w14:textId="77777777" w:rsidR="002C3063" w:rsidRDefault="002C3063" w:rsidP="00736567">
      <w:pPr>
        <w:spacing w:after="0" w:line="240" w:lineRule="auto"/>
        <w:rPr>
          <w:rFonts w:ascii="Calibri" w:eastAsia="Calibri" w:hAnsi="Calibri" w:cs="Times New Roman"/>
          <w:b/>
          <w:bCs/>
          <w:kern w:val="0"/>
          <w:sz w:val="24"/>
          <w:szCs w:val="24"/>
          <w14:ligatures w14:val="none"/>
        </w:rPr>
      </w:pPr>
    </w:p>
    <w:p w14:paraId="7D758A58" w14:textId="77777777" w:rsidR="002C3063" w:rsidRPr="002C3063" w:rsidRDefault="002C3063" w:rsidP="00736567">
      <w:pPr>
        <w:spacing w:after="0" w:line="240" w:lineRule="auto"/>
        <w:rPr>
          <w:rFonts w:ascii="Calibri" w:eastAsia="Calibri" w:hAnsi="Calibri" w:cs="Times New Roman"/>
          <w:b/>
          <w:bCs/>
          <w:kern w:val="0"/>
          <w:sz w:val="24"/>
          <w:szCs w:val="24"/>
          <w:u w:val="single"/>
          <w14:ligatures w14:val="none"/>
        </w:rPr>
      </w:pPr>
    </w:p>
    <w:p w14:paraId="12289ADF" w14:textId="75DA0051" w:rsidR="00736567" w:rsidRPr="00736567" w:rsidRDefault="00736567" w:rsidP="00736567">
      <w:pPr>
        <w:spacing w:after="0" w:line="240" w:lineRule="auto"/>
        <w:rPr>
          <w:rFonts w:ascii="Calibri" w:eastAsia="Calibri" w:hAnsi="Calibri" w:cs="Times New Roman"/>
          <w:b/>
          <w:bCs/>
          <w:kern w:val="0"/>
          <w:sz w:val="24"/>
          <w:szCs w:val="24"/>
          <w:u w:val="single"/>
          <w14:ligatures w14:val="none"/>
        </w:rPr>
      </w:pPr>
      <w:r w:rsidRPr="00736567">
        <w:rPr>
          <w:rFonts w:ascii="Calibri" w:eastAsia="Calibri" w:hAnsi="Calibri" w:cs="Times New Roman"/>
          <w:b/>
          <w:bCs/>
          <w:kern w:val="0"/>
          <w:sz w:val="24"/>
          <w:szCs w:val="24"/>
          <w:u w:val="single"/>
          <w14:ligatures w14:val="none"/>
        </w:rPr>
        <w:t>Joint Venture Construction Program</w:t>
      </w:r>
    </w:p>
    <w:p w14:paraId="21378D89" w14:textId="27A3144B" w:rsidR="0048526B" w:rsidRDefault="00F11E98" w:rsidP="0048526B">
      <w:pPr>
        <w:spacing w:after="0" w:line="240" w:lineRule="auto"/>
        <w:rPr>
          <w:rFonts w:ascii="Calibri" w:eastAsia="Calibri" w:hAnsi="Calibri" w:cs="Times New Roman"/>
          <w:i/>
          <w:iCs/>
          <w:kern w:val="0"/>
          <w:sz w:val="24"/>
          <w:szCs w:val="24"/>
          <w14:ligatures w14:val="none"/>
        </w:rPr>
      </w:pPr>
      <w:r w:rsidRPr="00F11E98">
        <w:rPr>
          <w:rFonts w:ascii="Calibri" w:eastAsia="Calibri" w:hAnsi="Calibri" w:cs="Times New Roman"/>
          <w:i/>
          <w:iCs/>
          <w:kern w:val="0"/>
          <w:sz w:val="24"/>
          <w:szCs w:val="24"/>
          <w14:ligatures w14:val="none"/>
        </w:rPr>
        <w:t>Steven E Raynor, P.E., Director, Division of Facilities Planning and Construction, Office of Environmental Health and Engineering, Indian Health Service</w:t>
      </w:r>
    </w:p>
    <w:p w14:paraId="2B54D678" w14:textId="77777777" w:rsidR="00F11E98" w:rsidRDefault="00F11E98" w:rsidP="0048526B">
      <w:pPr>
        <w:spacing w:after="0" w:line="240" w:lineRule="auto"/>
        <w:rPr>
          <w:rFonts w:ascii="Calibri" w:eastAsia="Calibri" w:hAnsi="Calibri" w:cs="Times New Roman"/>
          <w:kern w:val="0"/>
          <w:sz w:val="24"/>
          <w:szCs w:val="24"/>
          <w14:ligatures w14:val="none"/>
        </w:rPr>
      </w:pPr>
    </w:p>
    <w:p w14:paraId="0D062486" w14:textId="5ABDF86E" w:rsidR="000E118C" w:rsidRDefault="00750814" w:rsidP="0048526B">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The Indian Health Service Joint Venture Construction Program</w:t>
      </w:r>
      <w:r w:rsidR="00246512">
        <w:rPr>
          <w:rFonts w:ascii="Calibri" w:eastAsia="Calibri" w:hAnsi="Calibri" w:cs="Times New Roman"/>
          <w:kern w:val="0"/>
          <w:sz w:val="24"/>
          <w:szCs w:val="24"/>
          <w14:ligatures w14:val="none"/>
        </w:rPr>
        <w:t xml:space="preserve"> (JVCP)</w:t>
      </w:r>
      <w:r>
        <w:rPr>
          <w:rFonts w:ascii="Calibri" w:eastAsia="Calibri" w:hAnsi="Calibri" w:cs="Times New Roman"/>
          <w:kern w:val="0"/>
          <w:sz w:val="24"/>
          <w:szCs w:val="24"/>
          <w14:ligatures w14:val="none"/>
        </w:rPr>
        <w:t xml:space="preserve"> was authorized by the Indian Health Care</w:t>
      </w:r>
      <w:r w:rsidR="00246512">
        <w:rPr>
          <w:rFonts w:ascii="Calibri" w:eastAsia="Calibri" w:hAnsi="Calibri" w:cs="Times New Roman"/>
          <w:kern w:val="0"/>
          <w:sz w:val="24"/>
          <w:szCs w:val="24"/>
          <w14:ligatures w14:val="none"/>
        </w:rPr>
        <w:t xml:space="preserve"> Improvement Act (IHCIA). </w:t>
      </w:r>
      <w:r w:rsidR="00081FFB">
        <w:rPr>
          <w:rFonts w:ascii="Calibri" w:eastAsia="Calibri" w:hAnsi="Calibri" w:cs="Times New Roman"/>
          <w:kern w:val="0"/>
          <w:sz w:val="24"/>
          <w:szCs w:val="24"/>
          <w14:ligatures w14:val="none"/>
        </w:rPr>
        <w:t xml:space="preserve">The JCVP </w:t>
      </w:r>
      <w:r w:rsidR="00BF7D19">
        <w:rPr>
          <w:rFonts w:ascii="Calibri" w:eastAsia="Calibri" w:hAnsi="Calibri" w:cs="Times New Roman"/>
          <w:kern w:val="0"/>
          <w:sz w:val="24"/>
          <w:szCs w:val="24"/>
          <w14:ligatures w14:val="none"/>
        </w:rPr>
        <w:t>establishes</w:t>
      </w:r>
      <w:r w:rsidR="00081FFB">
        <w:rPr>
          <w:rFonts w:ascii="Calibri" w:eastAsia="Calibri" w:hAnsi="Calibri" w:cs="Times New Roman"/>
          <w:kern w:val="0"/>
          <w:sz w:val="24"/>
          <w:szCs w:val="24"/>
          <w14:ligatures w14:val="none"/>
        </w:rPr>
        <w:t xml:space="preserve"> projects where AI/ANs</w:t>
      </w:r>
      <w:r w:rsidR="00B27A0B">
        <w:rPr>
          <w:rFonts w:ascii="Calibri" w:eastAsia="Calibri" w:hAnsi="Calibri" w:cs="Times New Roman"/>
          <w:kern w:val="0"/>
          <w:sz w:val="24"/>
          <w:szCs w:val="24"/>
          <w14:ligatures w14:val="none"/>
        </w:rPr>
        <w:t xml:space="preserve"> Tribes can acquire a tribally owned </w:t>
      </w:r>
      <w:r w:rsidR="00E94D81">
        <w:rPr>
          <w:rFonts w:ascii="Calibri" w:eastAsia="Calibri" w:hAnsi="Calibri" w:cs="Times New Roman"/>
          <w:kern w:val="0"/>
          <w:sz w:val="24"/>
          <w:szCs w:val="24"/>
          <w14:ligatures w14:val="none"/>
        </w:rPr>
        <w:t xml:space="preserve">healthcare facility in exchange for the IHS providing the initial equipment and operating and maintenance funding </w:t>
      </w:r>
      <w:r w:rsidR="00FD6666">
        <w:rPr>
          <w:rFonts w:ascii="Calibri" w:eastAsia="Calibri" w:hAnsi="Calibri" w:cs="Times New Roman"/>
          <w:kern w:val="0"/>
          <w:sz w:val="24"/>
          <w:szCs w:val="24"/>
          <w14:ligatures w14:val="none"/>
        </w:rPr>
        <w:t xml:space="preserve">for 20 years. </w:t>
      </w:r>
    </w:p>
    <w:p w14:paraId="20691852" w14:textId="77777777" w:rsidR="00EF118F" w:rsidRDefault="00EF118F" w:rsidP="0048526B">
      <w:pPr>
        <w:spacing w:after="0" w:line="240" w:lineRule="auto"/>
        <w:rPr>
          <w:rFonts w:ascii="Calibri" w:eastAsia="Calibri" w:hAnsi="Calibri" w:cs="Times New Roman"/>
          <w:kern w:val="0"/>
          <w:sz w:val="24"/>
          <w:szCs w:val="24"/>
          <w14:ligatures w14:val="none"/>
        </w:rPr>
      </w:pPr>
    </w:p>
    <w:p w14:paraId="1F27A780" w14:textId="7646C260" w:rsidR="00EF118F" w:rsidRDefault="00474126" w:rsidP="0048526B">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All federally recognized Tribes are eligible to participate in the JVCP; however, the Tribe</w:t>
      </w:r>
      <w:r w:rsidR="00E94D81">
        <w:rPr>
          <w:rFonts w:ascii="Calibri" w:eastAsia="Calibri" w:hAnsi="Calibri" w:cs="Times New Roman"/>
          <w:kern w:val="0"/>
          <w:sz w:val="24"/>
          <w:szCs w:val="24"/>
          <w14:ligatures w14:val="none"/>
        </w:rPr>
        <w:t xml:space="preserve"> must demonstrate the administrative and financial capabilities to complete the facility </w:t>
      </w:r>
      <w:r w:rsidR="00BF7D19">
        <w:rPr>
          <w:rFonts w:ascii="Calibri" w:eastAsia="Calibri" w:hAnsi="Calibri" w:cs="Times New Roman"/>
          <w:kern w:val="0"/>
          <w:sz w:val="24"/>
          <w:szCs w:val="24"/>
          <w14:ligatures w14:val="none"/>
        </w:rPr>
        <w:t>promptly</w:t>
      </w:r>
      <w:r w:rsidR="00E94D81">
        <w:rPr>
          <w:rFonts w:ascii="Calibri" w:eastAsia="Calibri" w:hAnsi="Calibri" w:cs="Times New Roman"/>
          <w:kern w:val="0"/>
          <w:sz w:val="24"/>
          <w:szCs w:val="24"/>
          <w14:ligatures w14:val="none"/>
        </w:rPr>
        <w:t xml:space="preserve">. </w:t>
      </w:r>
      <w:r w:rsidR="009E0068">
        <w:rPr>
          <w:rFonts w:ascii="Calibri" w:eastAsia="Calibri" w:hAnsi="Calibri" w:cs="Times New Roman"/>
          <w:kern w:val="0"/>
          <w:sz w:val="24"/>
          <w:szCs w:val="24"/>
          <w14:ligatures w14:val="none"/>
        </w:rPr>
        <w:t xml:space="preserve">The Tribe must also expend Tribal, private, or other available non-IHS funds to complete the facility. </w:t>
      </w:r>
      <w:r w:rsidR="00F927F6">
        <w:rPr>
          <w:rFonts w:ascii="Calibri" w:eastAsia="Calibri" w:hAnsi="Calibri" w:cs="Times New Roman"/>
          <w:kern w:val="0"/>
          <w:sz w:val="24"/>
          <w:szCs w:val="24"/>
          <w14:ligatures w14:val="none"/>
        </w:rPr>
        <w:t>Th</w:t>
      </w:r>
      <w:r w:rsidR="00BF7D19">
        <w:rPr>
          <w:rFonts w:ascii="Calibri" w:eastAsia="Calibri" w:hAnsi="Calibri" w:cs="Times New Roman"/>
          <w:kern w:val="0"/>
          <w:sz w:val="24"/>
          <w:szCs w:val="24"/>
          <w14:ligatures w14:val="none"/>
        </w:rPr>
        <w:t>is year, the long-term care facilities introduced</w:t>
      </w:r>
      <w:r w:rsidR="00F927F6">
        <w:rPr>
          <w:rFonts w:ascii="Calibri" w:eastAsia="Calibri" w:hAnsi="Calibri" w:cs="Times New Roman"/>
          <w:kern w:val="0"/>
          <w:sz w:val="24"/>
          <w:szCs w:val="24"/>
          <w14:ligatures w14:val="none"/>
        </w:rPr>
        <w:t xml:space="preserve"> will be evaluated separately from the inpatient and outpatient facilities</w:t>
      </w:r>
      <w:r w:rsidR="005A321A">
        <w:rPr>
          <w:rFonts w:ascii="Calibri" w:eastAsia="Calibri" w:hAnsi="Calibri" w:cs="Times New Roman"/>
          <w:kern w:val="0"/>
          <w:sz w:val="24"/>
          <w:szCs w:val="24"/>
          <w14:ligatures w14:val="none"/>
        </w:rPr>
        <w:t xml:space="preserve">, and at least one long-term care facility will be awarded. </w:t>
      </w:r>
    </w:p>
    <w:p w14:paraId="5935B6EC" w14:textId="77777777" w:rsidR="00E41D82" w:rsidRDefault="00E41D82" w:rsidP="0048526B">
      <w:pPr>
        <w:spacing w:after="0" w:line="240" w:lineRule="auto"/>
        <w:rPr>
          <w:rFonts w:ascii="Calibri" w:eastAsia="Calibri" w:hAnsi="Calibri" w:cs="Times New Roman"/>
          <w:kern w:val="0"/>
          <w:sz w:val="24"/>
          <w:szCs w:val="24"/>
          <w14:ligatures w14:val="none"/>
        </w:rPr>
      </w:pPr>
    </w:p>
    <w:p w14:paraId="234058B6" w14:textId="01218D17" w:rsidR="00E41D82" w:rsidRDefault="00E41D82" w:rsidP="0048526B">
      <w:pPr>
        <w:spacing w:after="0" w:line="240" w:lineRule="auto"/>
        <w:rPr>
          <w:rFonts w:ascii="Calibri" w:eastAsia="Calibri" w:hAnsi="Calibri" w:cs="Times New Roman"/>
          <w:kern w:val="0"/>
          <w:sz w:val="24"/>
          <w:szCs w:val="24"/>
          <w14:ligatures w14:val="none"/>
        </w:rPr>
      </w:pPr>
      <w:r w:rsidRPr="00E41D82">
        <w:rPr>
          <w:rFonts w:ascii="Calibri" w:eastAsia="Calibri" w:hAnsi="Calibri" w:cs="Times New Roman"/>
          <w:b/>
          <w:bCs/>
          <w:kern w:val="0"/>
          <w:sz w:val="24"/>
          <w:szCs w:val="24"/>
          <w14:ligatures w14:val="none"/>
        </w:rPr>
        <w:t>Tribal Leader Question:</w:t>
      </w:r>
      <w:r>
        <w:rPr>
          <w:rFonts w:ascii="Calibri" w:eastAsia="Calibri" w:hAnsi="Calibri" w:cs="Times New Roman"/>
          <w:kern w:val="0"/>
          <w:sz w:val="24"/>
          <w:szCs w:val="24"/>
          <w14:ligatures w14:val="none"/>
        </w:rPr>
        <w:t xml:space="preserve"> How much funding is available? </w:t>
      </w:r>
      <w:r w:rsidR="0085468C">
        <w:rPr>
          <w:rFonts w:ascii="Calibri" w:eastAsia="Calibri" w:hAnsi="Calibri" w:cs="Times New Roman"/>
          <w:kern w:val="0"/>
          <w:sz w:val="24"/>
          <w:szCs w:val="24"/>
          <w14:ligatures w14:val="none"/>
        </w:rPr>
        <w:t>How many projects will be awarded?</w:t>
      </w:r>
    </w:p>
    <w:p w14:paraId="33320972" w14:textId="77777777" w:rsidR="0085468C" w:rsidRDefault="0085468C" w:rsidP="0048526B">
      <w:pPr>
        <w:spacing w:after="0" w:line="240" w:lineRule="auto"/>
        <w:rPr>
          <w:rFonts w:ascii="Calibri" w:eastAsia="Calibri" w:hAnsi="Calibri" w:cs="Times New Roman"/>
          <w:kern w:val="0"/>
          <w:sz w:val="24"/>
          <w:szCs w:val="24"/>
          <w14:ligatures w14:val="none"/>
        </w:rPr>
      </w:pPr>
    </w:p>
    <w:p w14:paraId="407B31FE" w14:textId="44518311" w:rsidR="0085468C" w:rsidRPr="0085468C" w:rsidRDefault="0085468C" w:rsidP="0048526B">
      <w:pPr>
        <w:spacing w:after="0" w:line="240" w:lineRule="auto"/>
        <w:rPr>
          <w:rFonts w:ascii="Calibri" w:eastAsia="Calibri" w:hAnsi="Calibri" w:cs="Times New Roman"/>
          <w:b/>
          <w:bCs/>
          <w:kern w:val="0"/>
          <w:sz w:val="24"/>
          <w:szCs w:val="24"/>
          <w14:ligatures w14:val="none"/>
        </w:rPr>
      </w:pPr>
      <w:r w:rsidRPr="0085468C">
        <w:rPr>
          <w:rFonts w:ascii="Calibri" w:eastAsia="Calibri" w:hAnsi="Calibri" w:cs="Times New Roman"/>
          <w:b/>
          <w:bCs/>
          <w:kern w:val="0"/>
          <w:sz w:val="24"/>
          <w:szCs w:val="24"/>
          <w14:ligatures w14:val="none"/>
        </w:rPr>
        <w:t xml:space="preserve">Federal Response: </w:t>
      </w:r>
      <w:r w:rsidR="007458F6" w:rsidRPr="007458F6">
        <w:rPr>
          <w:rFonts w:ascii="Calibri" w:eastAsia="Calibri" w:hAnsi="Calibri" w:cs="Times New Roman"/>
          <w:kern w:val="0"/>
          <w:sz w:val="24"/>
          <w:szCs w:val="24"/>
          <w14:ligatures w14:val="none"/>
        </w:rPr>
        <w:t>The JVCP is not a funded program because the Tribes build the facilities</w:t>
      </w:r>
      <w:r w:rsidR="00E035A2">
        <w:rPr>
          <w:rFonts w:ascii="Calibri" w:eastAsia="Calibri" w:hAnsi="Calibri" w:cs="Times New Roman"/>
          <w:kern w:val="0"/>
          <w:sz w:val="24"/>
          <w:szCs w:val="24"/>
          <w14:ligatures w14:val="none"/>
        </w:rPr>
        <w:t xml:space="preserve">, </w:t>
      </w:r>
      <w:r w:rsidR="007413A5">
        <w:rPr>
          <w:rFonts w:ascii="Calibri" w:eastAsia="Calibri" w:hAnsi="Calibri" w:cs="Times New Roman"/>
          <w:kern w:val="0"/>
          <w:sz w:val="24"/>
          <w:szCs w:val="24"/>
          <w14:ligatures w14:val="none"/>
        </w:rPr>
        <w:t xml:space="preserve">and then the IHS requests funding from Congress to staff </w:t>
      </w:r>
      <w:r w:rsidR="00E035A2">
        <w:rPr>
          <w:rFonts w:ascii="Calibri" w:eastAsia="Calibri" w:hAnsi="Calibri" w:cs="Times New Roman"/>
          <w:kern w:val="0"/>
          <w:sz w:val="24"/>
          <w:szCs w:val="24"/>
          <w14:ligatures w14:val="none"/>
        </w:rPr>
        <w:t xml:space="preserve">the facilities. </w:t>
      </w:r>
      <w:r w:rsidR="00BF7D19">
        <w:rPr>
          <w:rFonts w:ascii="Calibri" w:eastAsia="Calibri" w:hAnsi="Calibri" w:cs="Times New Roman"/>
          <w:kern w:val="0"/>
          <w:sz w:val="24"/>
          <w:szCs w:val="24"/>
          <w14:ligatures w14:val="none"/>
        </w:rPr>
        <w:t>We rank all the projects in the second phase each time we go through the process</w:t>
      </w:r>
      <w:r w:rsidR="00737888">
        <w:rPr>
          <w:rFonts w:ascii="Calibri" w:eastAsia="Calibri" w:hAnsi="Calibri" w:cs="Times New Roman"/>
          <w:kern w:val="0"/>
          <w:sz w:val="24"/>
          <w:szCs w:val="24"/>
          <w14:ligatures w14:val="none"/>
        </w:rPr>
        <w:t xml:space="preserve">. </w:t>
      </w:r>
      <w:r w:rsidR="007413A5">
        <w:rPr>
          <w:rFonts w:ascii="Calibri" w:eastAsia="Calibri" w:hAnsi="Calibri" w:cs="Times New Roman"/>
          <w:kern w:val="0"/>
          <w:sz w:val="24"/>
          <w:szCs w:val="24"/>
          <w14:ligatures w14:val="none"/>
        </w:rPr>
        <w:t>Seven to twelve projects usually</w:t>
      </w:r>
      <w:r w:rsidR="00D572F8">
        <w:rPr>
          <w:rFonts w:ascii="Calibri" w:eastAsia="Calibri" w:hAnsi="Calibri" w:cs="Times New Roman"/>
          <w:kern w:val="0"/>
          <w:sz w:val="24"/>
          <w:szCs w:val="24"/>
          <w14:ligatures w14:val="none"/>
        </w:rPr>
        <w:t xml:space="preserve"> go into the second phase. </w:t>
      </w:r>
      <w:r w:rsidR="009F110B">
        <w:rPr>
          <w:rFonts w:ascii="Calibri" w:eastAsia="Calibri" w:hAnsi="Calibri" w:cs="Times New Roman"/>
          <w:kern w:val="0"/>
          <w:sz w:val="24"/>
          <w:szCs w:val="24"/>
          <w14:ligatures w14:val="none"/>
        </w:rPr>
        <w:t xml:space="preserve">Once the </w:t>
      </w:r>
      <w:r w:rsidR="00547F7C">
        <w:rPr>
          <w:rFonts w:ascii="Calibri" w:eastAsia="Calibri" w:hAnsi="Calibri" w:cs="Times New Roman"/>
          <w:kern w:val="0"/>
          <w:sz w:val="24"/>
          <w:szCs w:val="24"/>
          <w14:ligatures w14:val="none"/>
        </w:rPr>
        <w:t xml:space="preserve">projects are completed, the IHS evaluates </w:t>
      </w:r>
      <w:r w:rsidR="00FF2A90">
        <w:rPr>
          <w:rFonts w:ascii="Calibri" w:eastAsia="Calibri" w:hAnsi="Calibri" w:cs="Times New Roman"/>
          <w:kern w:val="0"/>
          <w:sz w:val="24"/>
          <w:szCs w:val="24"/>
          <w14:ligatures w14:val="none"/>
        </w:rPr>
        <w:t>the</w:t>
      </w:r>
      <w:r w:rsidR="00547F7C">
        <w:rPr>
          <w:rFonts w:ascii="Calibri" w:eastAsia="Calibri" w:hAnsi="Calibri" w:cs="Times New Roman"/>
          <w:kern w:val="0"/>
          <w:sz w:val="24"/>
          <w:szCs w:val="24"/>
          <w14:ligatures w14:val="none"/>
        </w:rPr>
        <w:t xml:space="preserve"> staffing </w:t>
      </w:r>
      <w:r w:rsidR="00D335C1">
        <w:rPr>
          <w:rFonts w:ascii="Calibri" w:eastAsia="Calibri" w:hAnsi="Calibri" w:cs="Times New Roman"/>
          <w:kern w:val="0"/>
          <w:sz w:val="24"/>
          <w:szCs w:val="24"/>
          <w14:ligatures w14:val="none"/>
        </w:rPr>
        <w:t>needs</w:t>
      </w:r>
      <w:r w:rsidR="00547F7C">
        <w:rPr>
          <w:rFonts w:ascii="Calibri" w:eastAsia="Calibri" w:hAnsi="Calibri" w:cs="Times New Roman"/>
          <w:kern w:val="0"/>
          <w:sz w:val="24"/>
          <w:szCs w:val="24"/>
          <w14:ligatures w14:val="none"/>
        </w:rPr>
        <w:t xml:space="preserve"> and requests </w:t>
      </w:r>
      <w:r w:rsidR="00FF2A90">
        <w:rPr>
          <w:rFonts w:ascii="Calibri" w:eastAsia="Calibri" w:hAnsi="Calibri" w:cs="Times New Roman"/>
          <w:kern w:val="0"/>
          <w:sz w:val="24"/>
          <w:szCs w:val="24"/>
          <w14:ligatures w14:val="none"/>
        </w:rPr>
        <w:t xml:space="preserve">funding from Congress. </w:t>
      </w:r>
      <w:r w:rsidR="00257827">
        <w:rPr>
          <w:rFonts w:ascii="Calibri" w:eastAsia="Calibri" w:hAnsi="Calibri" w:cs="Times New Roman"/>
          <w:kern w:val="0"/>
          <w:sz w:val="24"/>
          <w:szCs w:val="24"/>
          <w14:ligatures w14:val="none"/>
        </w:rPr>
        <w:t xml:space="preserve">The determination </w:t>
      </w:r>
      <w:r w:rsidR="00B11A0E">
        <w:rPr>
          <w:rFonts w:ascii="Calibri" w:eastAsia="Calibri" w:hAnsi="Calibri" w:cs="Times New Roman"/>
          <w:kern w:val="0"/>
          <w:sz w:val="24"/>
          <w:szCs w:val="24"/>
          <w14:ligatures w14:val="none"/>
        </w:rPr>
        <w:t xml:space="preserve">of how many projects will be awarded depends on the level of staffing </w:t>
      </w:r>
      <w:r w:rsidR="000E6BE2">
        <w:rPr>
          <w:rFonts w:ascii="Calibri" w:eastAsia="Calibri" w:hAnsi="Calibri" w:cs="Times New Roman"/>
          <w:kern w:val="0"/>
          <w:sz w:val="24"/>
          <w:szCs w:val="24"/>
          <w14:ligatures w14:val="none"/>
        </w:rPr>
        <w:t>needed</w:t>
      </w:r>
      <w:r w:rsidR="00B11A0E">
        <w:rPr>
          <w:rFonts w:ascii="Calibri" w:eastAsia="Calibri" w:hAnsi="Calibri" w:cs="Times New Roman"/>
          <w:kern w:val="0"/>
          <w:sz w:val="24"/>
          <w:szCs w:val="24"/>
          <w14:ligatures w14:val="none"/>
        </w:rPr>
        <w:t xml:space="preserve"> to complete the project</w:t>
      </w:r>
      <w:r w:rsidR="000E6BE2">
        <w:rPr>
          <w:rFonts w:ascii="Calibri" w:eastAsia="Calibri" w:hAnsi="Calibri" w:cs="Times New Roman"/>
          <w:kern w:val="0"/>
          <w:sz w:val="24"/>
          <w:szCs w:val="24"/>
          <w14:ligatures w14:val="none"/>
        </w:rPr>
        <w:t xml:space="preserve">s. </w:t>
      </w:r>
    </w:p>
    <w:p w14:paraId="11420D6B" w14:textId="77777777" w:rsidR="00AF16D9" w:rsidRDefault="00AF16D9" w:rsidP="0048526B">
      <w:pPr>
        <w:spacing w:after="0" w:line="240" w:lineRule="auto"/>
        <w:rPr>
          <w:rFonts w:ascii="Calibri" w:eastAsia="Calibri" w:hAnsi="Calibri" w:cs="Times New Roman"/>
          <w:kern w:val="0"/>
          <w:sz w:val="24"/>
          <w:szCs w:val="24"/>
          <w14:ligatures w14:val="none"/>
        </w:rPr>
      </w:pPr>
    </w:p>
    <w:p w14:paraId="3CA56078" w14:textId="423BC18A" w:rsidR="00AF16D9" w:rsidRPr="00D16007" w:rsidRDefault="001269F9" w:rsidP="0048526B">
      <w:pPr>
        <w:spacing w:after="0" w:line="240" w:lineRule="auto"/>
        <w:rPr>
          <w:rFonts w:ascii="Calibri" w:eastAsia="Calibri" w:hAnsi="Calibri" w:cs="Times New Roman"/>
          <w:kern w:val="0"/>
          <w:sz w:val="24"/>
          <w:szCs w:val="24"/>
          <w14:ligatures w14:val="none"/>
        </w:rPr>
      </w:pPr>
      <w:r w:rsidRPr="001269F9">
        <w:rPr>
          <w:rFonts w:ascii="Calibri" w:eastAsia="Calibri" w:hAnsi="Calibri" w:cs="Times New Roman"/>
          <w:b/>
          <w:bCs/>
          <w:kern w:val="0"/>
          <w:sz w:val="24"/>
          <w:szCs w:val="24"/>
          <w14:ligatures w14:val="none"/>
        </w:rPr>
        <w:t xml:space="preserve">Tribal Leader Question: </w:t>
      </w:r>
      <w:r w:rsidR="00D16007" w:rsidRPr="00D16007">
        <w:rPr>
          <w:rFonts w:ascii="Calibri" w:eastAsia="Calibri" w:hAnsi="Calibri" w:cs="Times New Roman"/>
          <w:kern w:val="0"/>
          <w:sz w:val="24"/>
          <w:szCs w:val="24"/>
          <w14:ligatures w14:val="none"/>
        </w:rPr>
        <w:t>Do you have to have the facility constructed</w:t>
      </w:r>
      <w:r w:rsidR="00925181">
        <w:rPr>
          <w:rFonts w:ascii="Calibri" w:eastAsia="Calibri" w:hAnsi="Calibri" w:cs="Times New Roman"/>
          <w:kern w:val="0"/>
          <w:sz w:val="24"/>
          <w:szCs w:val="24"/>
          <w14:ligatures w14:val="none"/>
        </w:rPr>
        <w:t xml:space="preserve"> or </w:t>
      </w:r>
      <w:r w:rsidR="00FF39A4">
        <w:rPr>
          <w:rFonts w:ascii="Calibri" w:eastAsia="Calibri" w:hAnsi="Calibri" w:cs="Times New Roman"/>
          <w:kern w:val="0"/>
          <w:sz w:val="24"/>
          <w:szCs w:val="24"/>
          <w14:ligatures w14:val="none"/>
        </w:rPr>
        <w:t>have sufficient evidence that it will be ready for O&amp;M</w:t>
      </w:r>
      <w:r w:rsidR="00D16007" w:rsidRPr="00D16007">
        <w:rPr>
          <w:rFonts w:ascii="Calibri" w:eastAsia="Calibri" w:hAnsi="Calibri" w:cs="Times New Roman"/>
          <w:kern w:val="0"/>
          <w:sz w:val="24"/>
          <w:szCs w:val="24"/>
          <w14:ligatures w14:val="none"/>
        </w:rPr>
        <w:t xml:space="preserve">? </w:t>
      </w:r>
    </w:p>
    <w:p w14:paraId="283E665B" w14:textId="77777777" w:rsidR="001269F9" w:rsidRDefault="001269F9" w:rsidP="0048526B">
      <w:pPr>
        <w:spacing w:after="0" w:line="240" w:lineRule="auto"/>
        <w:rPr>
          <w:rFonts w:ascii="Calibri" w:eastAsia="Calibri" w:hAnsi="Calibri" w:cs="Times New Roman"/>
          <w:kern w:val="0"/>
          <w:sz w:val="24"/>
          <w:szCs w:val="24"/>
          <w14:ligatures w14:val="none"/>
        </w:rPr>
      </w:pPr>
    </w:p>
    <w:p w14:paraId="23942CFC" w14:textId="40B882C4" w:rsidR="001269F9" w:rsidRDefault="001269F9" w:rsidP="0048526B">
      <w:pPr>
        <w:spacing w:after="0" w:line="240" w:lineRule="auto"/>
        <w:rPr>
          <w:rFonts w:ascii="Calibri" w:eastAsia="Calibri" w:hAnsi="Calibri" w:cs="Times New Roman"/>
          <w:kern w:val="0"/>
          <w:sz w:val="24"/>
          <w:szCs w:val="24"/>
          <w14:ligatures w14:val="none"/>
        </w:rPr>
      </w:pPr>
      <w:r w:rsidRPr="001269F9">
        <w:rPr>
          <w:rFonts w:ascii="Calibri" w:eastAsia="Calibri" w:hAnsi="Calibri" w:cs="Times New Roman"/>
          <w:b/>
          <w:bCs/>
          <w:kern w:val="0"/>
          <w:sz w:val="24"/>
          <w:szCs w:val="24"/>
          <w14:ligatures w14:val="none"/>
        </w:rPr>
        <w:t xml:space="preserve">Federal Response: </w:t>
      </w:r>
      <w:r w:rsidR="00FF39A4" w:rsidRPr="00FF39A4">
        <w:rPr>
          <w:rFonts w:ascii="Calibri" w:eastAsia="Calibri" w:hAnsi="Calibri" w:cs="Times New Roman"/>
          <w:kern w:val="0"/>
          <w:sz w:val="24"/>
          <w:szCs w:val="24"/>
          <w14:ligatures w14:val="none"/>
        </w:rPr>
        <w:t xml:space="preserve">In fact, </w:t>
      </w:r>
      <w:r w:rsidR="00FF39A4">
        <w:rPr>
          <w:rFonts w:ascii="Calibri" w:eastAsia="Calibri" w:hAnsi="Calibri" w:cs="Times New Roman"/>
          <w:kern w:val="0"/>
          <w:sz w:val="24"/>
          <w:szCs w:val="24"/>
          <w14:ligatures w14:val="none"/>
        </w:rPr>
        <w:t>it is</w:t>
      </w:r>
      <w:r w:rsidR="00FF39A4" w:rsidRPr="00FF39A4">
        <w:rPr>
          <w:rFonts w:ascii="Calibri" w:eastAsia="Calibri" w:hAnsi="Calibri" w:cs="Times New Roman"/>
          <w:kern w:val="0"/>
          <w:sz w:val="24"/>
          <w:szCs w:val="24"/>
          <w14:ligatures w14:val="none"/>
        </w:rPr>
        <w:t xml:space="preserve"> required that there </w:t>
      </w:r>
      <w:r w:rsidR="00FF39A4">
        <w:rPr>
          <w:rFonts w:ascii="Calibri" w:eastAsia="Calibri" w:hAnsi="Calibri" w:cs="Times New Roman"/>
          <w:kern w:val="0"/>
          <w:sz w:val="24"/>
          <w:szCs w:val="24"/>
          <w14:ligatures w14:val="none"/>
        </w:rPr>
        <w:t>be</w:t>
      </w:r>
      <w:r w:rsidR="00FF39A4" w:rsidRPr="00FF39A4">
        <w:rPr>
          <w:rFonts w:ascii="Calibri" w:eastAsia="Calibri" w:hAnsi="Calibri" w:cs="Times New Roman"/>
          <w:kern w:val="0"/>
          <w:sz w:val="24"/>
          <w:szCs w:val="24"/>
          <w14:ligatures w14:val="none"/>
        </w:rPr>
        <w:t xml:space="preserve"> no construction </w:t>
      </w:r>
      <w:r w:rsidR="001D0080">
        <w:rPr>
          <w:rFonts w:ascii="Calibri" w:eastAsia="Calibri" w:hAnsi="Calibri" w:cs="Times New Roman"/>
          <w:kern w:val="0"/>
          <w:sz w:val="24"/>
          <w:szCs w:val="24"/>
          <w14:ligatures w14:val="none"/>
        </w:rPr>
        <w:t xml:space="preserve">begun. There is a provision in the law that </w:t>
      </w:r>
      <w:r w:rsidR="00AF00BB">
        <w:rPr>
          <w:rFonts w:ascii="Calibri" w:eastAsia="Calibri" w:hAnsi="Calibri" w:cs="Times New Roman"/>
          <w:kern w:val="0"/>
          <w:sz w:val="24"/>
          <w:szCs w:val="24"/>
          <w14:ligatures w14:val="none"/>
        </w:rPr>
        <w:t>the facility can</w:t>
      </w:r>
      <w:r w:rsidR="00CF593D">
        <w:rPr>
          <w:rFonts w:ascii="Calibri" w:eastAsia="Calibri" w:hAnsi="Calibri" w:cs="Times New Roman"/>
          <w:kern w:val="0"/>
          <w:sz w:val="24"/>
          <w:szCs w:val="24"/>
          <w14:ligatures w14:val="none"/>
        </w:rPr>
        <w:t>'</w:t>
      </w:r>
      <w:r w:rsidR="00AF00BB">
        <w:rPr>
          <w:rFonts w:ascii="Calibri" w:eastAsia="Calibri" w:hAnsi="Calibri" w:cs="Times New Roman"/>
          <w:kern w:val="0"/>
          <w:sz w:val="24"/>
          <w:szCs w:val="24"/>
          <w14:ligatures w14:val="none"/>
        </w:rPr>
        <w:t>t be an es</w:t>
      </w:r>
      <w:r w:rsidR="00D56A74">
        <w:rPr>
          <w:rFonts w:ascii="Calibri" w:eastAsia="Calibri" w:hAnsi="Calibri" w:cs="Times New Roman"/>
          <w:kern w:val="0"/>
          <w:sz w:val="24"/>
          <w:szCs w:val="24"/>
          <w14:ligatures w14:val="none"/>
        </w:rPr>
        <w:t xml:space="preserve">tablished building. It can be a building that you purchase and renovate to become a </w:t>
      </w:r>
      <w:r w:rsidR="001A5296">
        <w:rPr>
          <w:rFonts w:ascii="Calibri" w:eastAsia="Calibri" w:hAnsi="Calibri" w:cs="Times New Roman"/>
          <w:kern w:val="0"/>
          <w:sz w:val="24"/>
          <w:szCs w:val="24"/>
          <w14:ligatures w14:val="none"/>
        </w:rPr>
        <w:t>healthcare</w:t>
      </w:r>
      <w:r w:rsidR="00D56A74">
        <w:rPr>
          <w:rFonts w:ascii="Calibri" w:eastAsia="Calibri" w:hAnsi="Calibri" w:cs="Times New Roman"/>
          <w:kern w:val="0"/>
          <w:sz w:val="24"/>
          <w:szCs w:val="24"/>
          <w14:ligatures w14:val="none"/>
        </w:rPr>
        <w:t xml:space="preserve"> facility. </w:t>
      </w:r>
      <w:r w:rsidR="001A5296">
        <w:rPr>
          <w:rFonts w:ascii="Calibri" w:eastAsia="Calibri" w:hAnsi="Calibri" w:cs="Times New Roman"/>
          <w:kern w:val="0"/>
          <w:sz w:val="24"/>
          <w:szCs w:val="24"/>
          <w14:ligatures w14:val="none"/>
        </w:rPr>
        <w:t xml:space="preserve">Or it can be one </w:t>
      </w:r>
      <w:r w:rsidR="00BF7D19">
        <w:rPr>
          <w:rFonts w:ascii="Calibri" w:eastAsia="Calibri" w:hAnsi="Calibri" w:cs="Times New Roman"/>
          <w:kern w:val="0"/>
          <w:sz w:val="24"/>
          <w:szCs w:val="24"/>
          <w14:ligatures w14:val="none"/>
        </w:rPr>
        <w:t>you build from the ground up, but it can't be one</w:t>
      </w:r>
      <w:r w:rsidR="00183297">
        <w:rPr>
          <w:rFonts w:ascii="Calibri" w:eastAsia="Calibri" w:hAnsi="Calibri" w:cs="Times New Roman"/>
          <w:kern w:val="0"/>
          <w:sz w:val="24"/>
          <w:szCs w:val="24"/>
          <w14:ligatures w14:val="none"/>
        </w:rPr>
        <w:t xml:space="preserve"> you have already built. </w:t>
      </w:r>
    </w:p>
    <w:p w14:paraId="09326F69" w14:textId="77777777" w:rsidR="00701104" w:rsidRDefault="00701104" w:rsidP="0048526B">
      <w:pPr>
        <w:spacing w:after="0" w:line="240" w:lineRule="auto"/>
        <w:rPr>
          <w:rFonts w:ascii="Calibri" w:eastAsia="Calibri" w:hAnsi="Calibri" w:cs="Times New Roman"/>
          <w:kern w:val="0"/>
          <w:sz w:val="24"/>
          <w:szCs w:val="24"/>
          <w14:ligatures w14:val="none"/>
        </w:rPr>
      </w:pPr>
    </w:p>
    <w:p w14:paraId="1556DFDC" w14:textId="77777777" w:rsidR="00F22AFA" w:rsidRDefault="00F22AFA" w:rsidP="0048526B">
      <w:pPr>
        <w:spacing w:after="0" w:line="240" w:lineRule="auto"/>
        <w:rPr>
          <w:rFonts w:ascii="Calibri" w:eastAsia="Calibri" w:hAnsi="Calibri" w:cs="Times New Roman"/>
          <w:kern w:val="0"/>
          <w:sz w:val="24"/>
          <w:szCs w:val="24"/>
          <w14:ligatures w14:val="none"/>
        </w:rPr>
      </w:pPr>
    </w:p>
    <w:p w14:paraId="75030276" w14:textId="33D636F0" w:rsidR="00701104" w:rsidRPr="00F22AFA" w:rsidRDefault="00F22AFA" w:rsidP="0048526B">
      <w:pPr>
        <w:spacing w:after="0" w:line="240" w:lineRule="auto"/>
        <w:rPr>
          <w:rFonts w:ascii="Calibri" w:eastAsia="Calibri" w:hAnsi="Calibri" w:cs="Times New Roman"/>
          <w:b/>
          <w:bCs/>
          <w:kern w:val="0"/>
          <w:sz w:val="24"/>
          <w:szCs w:val="24"/>
          <w14:ligatures w14:val="none"/>
        </w:rPr>
      </w:pPr>
      <w:r w:rsidRPr="00F22AFA">
        <w:rPr>
          <w:rFonts w:ascii="Calibri" w:eastAsia="Calibri" w:hAnsi="Calibri" w:cs="Times New Roman"/>
          <w:b/>
          <w:bCs/>
          <w:kern w:val="0"/>
          <w:sz w:val="24"/>
          <w:szCs w:val="24"/>
          <w14:ligatures w14:val="none"/>
        </w:rPr>
        <w:t xml:space="preserve">Tribal Representative Comment: </w:t>
      </w:r>
      <w:r w:rsidR="004D7B29">
        <w:rPr>
          <w:rFonts w:ascii="Calibri" w:eastAsia="Calibri" w:hAnsi="Calibri" w:cs="Times New Roman"/>
          <w:kern w:val="0"/>
          <w:sz w:val="24"/>
          <w:szCs w:val="24"/>
          <w14:ligatures w14:val="none"/>
        </w:rPr>
        <w:t xml:space="preserve">The FAAB transmitted several letters to the IHS </w:t>
      </w:r>
      <w:r w:rsidR="00FA60B4">
        <w:rPr>
          <w:rFonts w:ascii="Calibri" w:eastAsia="Calibri" w:hAnsi="Calibri" w:cs="Times New Roman"/>
          <w:kern w:val="0"/>
          <w:sz w:val="24"/>
          <w:szCs w:val="24"/>
          <w14:ligatures w14:val="none"/>
        </w:rPr>
        <w:t xml:space="preserve">Director </w:t>
      </w:r>
      <w:r w:rsidR="00E90AD4">
        <w:rPr>
          <w:rFonts w:ascii="Calibri" w:eastAsia="Calibri" w:hAnsi="Calibri" w:cs="Times New Roman"/>
          <w:kern w:val="0"/>
          <w:sz w:val="24"/>
          <w:szCs w:val="24"/>
          <w14:ligatures w14:val="none"/>
        </w:rPr>
        <w:t xml:space="preserve">about recommendations to improve the Joint Venture Construction Program. </w:t>
      </w:r>
      <w:r w:rsidR="004746DD">
        <w:rPr>
          <w:rFonts w:ascii="Calibri" w:eastAsia="Calibri" w:hAnsi="Calibri" w:cs="Times New Roman"/>
          <w:kern w:val="0"/>
          <w:sz w:val="24"/>
          <w:szCs w:val="24"/>
          <w14:ligatures w14:val="none"/>
        </w:rPr>
        <w:t xml:space="preserve">Many of those issues have already been vetted </w:t>
      </w:r>
      <w:r w:rsidR="00B2424F">
        <w:rPr>
          <w:rFonts w:ascii="Calibri" w:eastAsia="Calibri" w:hAnsi="Calibri" w:cs="Times New Roman"/>
          <w:kern w:val="0"/>
          <w:sz w:val="24"/>
          <w:szCs w:val="24"/>
          <w14:ligatures w14:val="none"/>
        </w:rPr>
        <w:t xml:space="preserve">in the respective </w:t>
      </w:r>
      <w:r w:rsidR="008D2DC2">
        <w:rPr>
          <w:rFonts w:ascii="Calibri" w:eastAsia="Calibri" w:hAnsi="Calibri" w:cs="Times New Roman"/>
          <w:kern w:val="0"/>
          <w:sz w:val="24"/>
          <w:szCs w:val="24"/>
          <w14:ligatures w14:val="none"/>
        </w:rPr>
        <w:t>IHS areas. The recommendations are as follows:</w:t>
      </w:r>
    </w:p>
    <w:p w14:paraId="2CC43642" w14:textId="77777777" w:rsidR="008D2DC2" w:rsidRDefault="008D2DC2" w:rsidP="0048526B">
      <w:pPr>
        <w:spacing w:after="0" w:line="240" w:lineRule="auto"/>
        <w:rPr>
          <w:rFonts w:ascii="Calibri" w:eastAsia="Calibri" w:hAnsi="Calibri" w:cs="Times New Roman"/>
          <w:kern w:val="0"/>
          <w:sz w:val="24"/>
          <w:szCs w:val="24"/>
          <w14:ligatures w14:val="none"/>
        </w:rPr>
      </w:pPr>
    </w:p>
    <w:p w14:paraId="1C0AADE3" w14:textId="2CFEE7C7" w:rsidR="008D2DC2" w:rsidRPr="0060472E" w:rsidRDefault="008D2DC2" w:rsidP="0060472E">
      <w:pPr>
        <w:pStyle w:val="ListParagraph"/>
        <w:numPr>
          <w:ilvl w:val="0"/>
          <w:numId w:val="1"/>
        </w:numPr>
        <w:spacing w:after="0" w:line="240" w:lineRule="auto"/>
        <w:rPr>
          <w:rFonts w:ascii="Calibri" w:eastAsia="Calibri" w:hAnsi="Calibri" w:cs="Times New Roman"/>
          <w:kern w:val="0"/>
          <w:sz w:val="24"/>
          <w:szCs w:val="24"/>
          <w14:ligatures w14:val="none"/>
        </w:rPr>
      </w:pPr>
      <w:r w:rsidRPr="0060472E">
        <w:rPr>
          <w:rFonts w:ascii="Calibri" w:eastAsia="Calibri" w:hAnsi="Calibri" w:cs="Times New Roman"/>
          <w:kern w:val="0"/>
          <w:sz w:val="24"/>
          <w:szCs w:val="24"/>
          <w14:ligatures w14:val="none"/>
        </w:rPr>
        <w:t xml:space="preserve">The IHS should make all </w:t>
      </w:r>
      <w:r w:rsidR="00EF24E8" w:rsidRPr="0060472E">
        <w:rPr>
          <w:rFonts w:ascii="Calibri" w:eastAsia="Calibri" w:hAnsi="Calibri" w:cs="Times New Roman"/>
          <w:kern w:val="0"/>
          <w:sz w:val="24"/>
          <w:szCs w:val="24"/>
          <w14:ligatures w14:val="none"/>
        </w:rPr>
        <w:t>facility types eligible for JCVP funding</w:t>
      </w:r>
      <w:r w:rsidR="00025456" w:rsidRPr="0060472E">
        <w:rPr>
          <w:rFonts w:ascii="Calibri" w:eastAsia="Calibri" w:hAnsi="Calibri" w:cs="Times New Roman"/>
          <w:kern w:val="0"/>
          <w:sz w:val="24"/>
          <w:szCs w:val="24"/>
          <w14:ligatures w14:val="none"/>
        </w:rPr>
        <w:t xml:space="preserve">. </w:t>
      </w:r>
    </w:p>
    <w:p w14:paraId="00562D10" w14:textId="75C81F6B" w:rsidR="00F82A26" w:rsidRPr="0060472E" w:rsidRDefault="00F82A26" w:rsidP="0060472E">
      <w:pPr>
        <w:pStyle w:val="ListParagraph"/>
        <w:numPr>
          <w:ilvl w:val="0"/>
          <w:numId w:val="1"/>
        </w:numPr>
        <w:spacing w:after="0" w:line="240" w:lineRule="auto"/>
        <w:rPr>
          <w:rFonts w:ascii="Calibri" w:eastAsia="Calibri" w:hAnsi="Calibri" w:cs="Times New Roman"/>
          <w:kern w:val="0"/>
          <w:sz w:val="24"/>
          <w:szCs w:val="24"/>
          <w14:ligatures w14:val="none"/>
        </w:rPr>
      </w:pPr>
      <w:r w:rsidRPr="0060472E">
        <w:rPr>
          <w:rFonts w:ascii="Calibri" w:eastAsia="Calibri" w:hAnsi="Calibri" w:cs="Times New Roman"/>
          <w:kern w:val="0"/>
          <w:sz w:val="24"/>
          <w:szCs w:val="24"/>
          <w14:ligatures w14:val="none"/>
        </w:rPr>
        <w:t xml:space="preserve">The IHS should allow past and future JCVP facilities to participate </w:t>
      </w:r>
      <w:r w:rsidR="00025456" w:rsidRPr="0060472E">
        <w:rPr>
          <w:rFonts w:ascii="Calibri" w:eastAsia="Calibri" w:hAnsi="Calibri" w:cs="Times New Roman"/>
          <w:kern w:val="0"/>
          <w:sz w:val="24"/>
          <w:szCs w:val="24"/>
          <w14:ligatures w14:val="none"/>
        </w:rPr>
        <w:t xml:space="preserve">in the 105(l) program. </w:t>
      </w:r>
    </w:p>
    <w:p w14:paraId="21A27F0B" w14:textId="30B20650" w:rsidR="0082003A" w:rsidRPr="0060472E" w:rsidRDefault="0023649B" w:rsidP="0060472E">
      <w:pPr>
        <w:pStyle w:val="ListParagraph"/>
        <w:numPr>
          <w:ilvl w:val="0"/>
          <w:numId w:val="1"/>
        </w:numPr>
        <w:spacing w:after="0" w:line="240" w:lineRule="auto"/>
        <w:rPr>
          <w:rFonts w:ascii="Calibri" w:eastAsia="Calibri" w:hAnsi="Calibri" w:cs="Times New Roman"/>
          <w:kern w:val="0"/>
          <w:sz w:val="24"/>
          <w:szCs w:val="24"/>
          <w14:ligatures w14:val="none"/>
        </w:rPr>
      </w:pPr>
      <w:r w:rsidRPr="0060472E">
        <w:rPr>
          <w:rFonts w:ascii="Calibri" w:eastAsia="Calibri" w:hAnsi="Calibri" w:cs="Times New Roman"/>
          <w:kern w:val="0"/>
          <w:sz w:val="24"/>
          <w:szCs w:val="24"/>
          <w14:ligatures w14:val="none"/>
        </w:rPr>
        <w:lastRenderedPageBreak/>
        <w:t xml:space="preserve">The IHS should eliminate </w:t>
      </w:r>
      <w:r w:rsidR="005A01F0" w:rsidRPr="0060472E">
        <w:rPr>
          <w:rFonts w:ascii="Calibri" w:eastAsia="Calibri" w:hAnsi="Calibri" w:cs="Times New Roman"/>
          <w:kern w:val="0"/>
          <w:sz w:val="24"/>
          <w:szCs w:val="24"/>
          <w14:ligatures w14:val="none"/>
        </w:rPr>
        <w:t xml:space="preserve">the scoring criteria that penalized Tribes for adding </w:t>
      </w:r>
      <w:r w:rsidR="00A446FD" w:rsidRPr="0060472E">
        <w:rPr>
          <w:rFonts w:ascii="Calibri" w:eastAsia="Calibri" w:hAnsi="Calibri" w:cs="Times New Roman"/>
          <w:kern w:val="0"/>
          <w:sz w:val="24"/>
          <w:szCs w:val="24"/>
          <w14:ligatures w14:val="none"/>
        </w:rPr>
        <w:t xml:space="preserve">facility space to </w:t>
      </w:r>
      <w:r w:rsidR="005A01F0" w:rsidRPr="0060472E">
        <w:rPr>
          <w:rFonts w:ascii="Calibri" w:eastAsia="Calibri" w:hAnsi="Calibri" w:cs="Times New Roman"/>
          <w:kern w:val="0"/>
          <w:sz w:val="24"/>
          <w:szCs w:val="24"/>
          <w14:ligatures w14:val="none"/>
        </w:rPr>
        <w:t>HSP</w:t>
      </w:r>
      <w:r w:rsidR="00973EE5">
        <w:rPr>
          <w:rFonts w:ascii="Calibri" w:eastAsia="Calibri" w:hAnsi="Calibri" w:cs="Times New Roman"/>
          <w:kern w:val="0"/>
          <w:sz w:val="24"/>
          <w:szCs w:val="24"/>
          <w14:ligatures w14:val="none"/>
        </w:rPr>
        <w:t>.</w:t>
      </w:r>
    </w:p>
    <w:p w14:paraId="03150B3D" w14:textId="512EC80A" w:rsidR="00021234" w:rsidRPr="0060472E" w:rsidRDefault="00021234" w:rsidP="0060472E">
      <w:pPr>
        <w:pStyle w:val="ListParagraph"/>
        <w:numPr>
          <w:ilvl w:val="0"/>
          <w:numId w:val="1"/>
        </w:numPr>
        <w:spacing w:after="0" w:line="240" w:lineRule="auto"/>
        <w:rPr>
          <w:rFonts w:ascii="Calibri" w:eastAsia="Calibri" w:hAnsi="Calibri" w:cs="Times New Roman"/>
          <w:kern w:val="0"/>
          <w:sz w:val="24"/>
          <w:szCs w:val="24"/>
          <w14:ligatures w14:val="none"/>
        </w:rPr>
      </w:pPr>
      <w:r w:rsidRPr="0060472E">
        <w:rPr>
          <w:rFonts w:ascii="Calibri" w:eastAsia="Calibri" w:hAnsi="Calibri" w:cs="Times New Roman"/>
          <w:kern w:val="0"/>
          <w:sz w:val="24"/>
          <w:szCs w:val="24"/>
          <w14:ligatures w14:val="none"/>
        </w:rPr>
        <w:t xml:space="preserve">Tribes should not be penalized for constructing facilities </w:t>
      </w:r>
      <w:r w:rsidR="00977DFC" w:rsidRPr="0060472E">
        <w:rPr>
          <w:rFonts w:ascii="Calibri" w:eastAsia="Calibri" w:hAnsi="Calibri" w:cs="Times New Roman"/>
          <w:kern w:val="0"/>
          <w:sz w:val="24"/>
          <w:szCs w:val="24"/>
          <w14:ligatures w14:val="none"/>
        </w:rPr>
        <w:t>when the IHS can</w:t>
      </w:r>
      <w:r w:rsidR="00CF593D">
        <w:rPr>
          <w:rFonts w:ascii="Calibri" w:eastAsia="Calibri" w:hAnsi="Calibri" w:cs="Times New Roman"/>
          <w:kern w:val="0"/>
          <w:sz w:val="24"/>
          <w:szCs w:val="24"/>
          <w14:ligatures w14:val="none"/>
        </w:rPr>
        <w:t>'</w:t>
      </w:r>
      <w:r w:rsidR="00977DFC" w:rsidRPr="0060472E">
        <w:rPr>
          <w:rFonts w:ascii="Calibri" w:eastAsia="Calibri" w:hAnsi="Calibri" w:cs="Times New Roman"/>
          <w:kern w:val="0"/>
          <w:sz w:val="24"/>
          <w:szCs w:val="24"/>
          <w14:ligatures w14:val="none"/>
        </w:rPr>
        <w:t>t fund them.</w:t>
      </w:r>
    </w:p>
    <w:p w14:paraId="1021BCA8" w14:textId="5999A1A6" w:rsidR="00977DFC" w:rsidRPr="0060472E" w:rsidRDefault="00977DFC" w:rsidP="0060472E">
      <w:pPr>
        <w:pStyle w:val="ListParagraph"/>
        <w:numPr>
          <w:ilvl w:val="0"/>
          <w:numId w:val="1"/>
        </w:numPr>
        <w:spacing w:after="0" w:line="240" w:lineRule="auto"/>
        <w:rPr>
          <w:rFonts w:ascii="Calibri" w:eastAsia="Calibri" w:hAnsi="Calibri" w:cs="Times New Roman"/>
          <w:kern w:val="0"/>
          <w:sz w:val="24"/>
          <w:szCs w:val="24"/>
          <w14:ligatures w14:val="none"/>
        </w:rPr>
      </w:pPr>
      <w:r w:rsidRPr="0060472E">
        <w:rPr>
          <w:rFonts w:ascii="Calibri" w:eastAsia="Calibri" w:hAnsi="Calibri" w:cs="Times New Roman"/>
          <w:kern w:val="0"/>
          <w:sz w:val="24"/>
          <w:szCs w:val="24"/>
          <w14:ligatures w14:val="none"/>
        </w:rPr>
        <w:t xml:space="preserve">The IHS should work collaboratively with Tribes to be more transparent about </w:t>
      </w:r>
      <w:r w:rsidR="00F345C6" w:rsidRPr="0060472E">
        <w:rPr>
          <w:rFonts w:ascii="Calibri" w:eastAsia="Calibri" w:hAnsi="Calibri" w:cs="Times New Roman"/>
          <w:kern w:val="0"/>
          <w:sz w:val="24"/>
          <w:szCs w:val="24"/>
          <w14:ligatures w14:val="none"/>
        </w:rPr>
        <w:t>the staffing package and how it is</w:t>
      </w:r>
      <w:r w:rsidR="00F960B1" w:rsidRPr="0060472E">
        <w:rPr>
          <w:rFonts w:ascii="Calibri" w:eastAsia="Calibri" w:hAnsi="Calibri" w:cs="Times New Roman"/>
          <w:kern w:val="0"/>
          <w:sz w:val="24"/>
          <w:szCs w:val="24"/>
          <w14:ligatures w14:val="none"/>
        </w:rPr>
        <w:t xml:space="preserve"> developed</w:t>
      </w:r>
      <w:r w:rsidR="007F7CF3" w:rsidRPr="0060472E">
        <w:rPr>
          <w:rFonts w:ascii="Calibri" w:eastAsia="Calibri" w:hAnsi="Calibri" w:cs="Times New Roman"/>
          <w:kern w:val="0"/>
          <w:sz w:val="24"/>
          <w:szCs w:val="24"/>
          <w14:ligatures w14:val="none"/>
        </w:rPr>
        <w:t xml:space="preserve"> through the resource requirements </w:t>
      </w:r>
      <w:r w:rsidR="00F345C6" w:rsidRPr="0060472E">
        <w:rPr>
          <w:rFonts w:ascii="Calibri" w:eastAsia="Calibri" w:hAnsi="Calibri" w:cs="Times New Roman"/>
          <w:kern w:val="0"/>
          <w:sz w:val="24"/>
          <w:szCs w:val="24"/>
          <w14:ligatures w14:val="none"/>
        </w:rPr>
        <w:t>methodology</w:t>
      </w:r>
      <w:r w:rsidR="00973EE5">
        <w:rPr>
          <w:rFonts w:ascii="Calibri" w:eastAsia="Calibri" w:hAnsi="Calibri" w:cs="Times New Roman"/>
          <w:kern w:val="0"/>
          <w:sz w:val="24"/>
          <w:szCs w:val="24"/>
          <w14:ligatures w14:val="none"/>
        </w:rPr>
        <w:t xml:space="preserve"> </w:t>
      </w:r>
      <w:r w:rsidR="00F345C6" w:rsidRPr="0060472E">
        <w:rPr>
          <w:rFonts w:ascii="Calibri" w:eastAsia="Calibri" w:hAnsi="Calibri" w:cs="Times New Roman"/>
          <w:kern w:val="0"/>
          <w:sz w:val="24"/>
          <w:szCs w:val="24"/>
          <w14:ligatures w14:val="none"/>
        </w:rPr>
        <w:t>and</w:t>
      </w:r>
      <w:r w:rsidR="00282AFB" w:rsidRPr="0060472E">
        <w:rPr>
          <w:rFonts w:ascii="Calibri" w:eastAsia="Calibri" w:hAnsi="Calibri" w:cs="Times New Roman"/>
          <w:kern w:val="0"/>
          <w:sz w:val="24"/>
          <w:szCs w:val="24"/>
          <w14:ligatures w14:val="none"/>
        </w:rPr>
        <w:t xml:space="preserve"> allow Tribes to receive funding </w:t>
      </w:r>
      <w:r w:rsidR="00903FEB">
        <w:rPr>
          <w:rFonts w:ascii="Calibri" w:eastAsia="Calibri" w:hAnsi="Calibri" w:cs="Times New Roman"/>
          <w:kern w:val="0"/>
          <w:sz w:val="24"/>
          <w:szCs w:val="24"/>
          <w14:ligatures w14:val="none"/>
        </w:rPr>
        <w:t>before</w:t>
      </w:r>
      <w:r w:rsidR="00282AFB" w:rsidRPr="0060472E">
        <w:rPr>
          <w:rFonts w:ascii="Calibri" w:eastAsia="Calibri" w:hAnsi="Calibri" w:cs="Times New Roman"/>
          <w:kern w:val="0"/>
          <w:sz w:val="24"/>
          <w:szCs w:val="24"/>
          <w14:ligatures w14:val="none"/>
        </w:rPr>
        <w:t xml:space="preserve"> the </w:t>
      </w:r>
      <w:r w:rsidR="00883721" w:rsidRPr="0060472E">
        <w:rPr>
          <w:rFonts w:ascii="Calibri" w:eastAsia="Calibri" w:hAnsi="Calibri" w:cs="Times New Roman"/>
          <w:kern w:val="0"/>
          <w:sz w:val="24"/>
          <w:szCs w:val="24"/>
          <w14:ligatures w14:val="none"/>
        </w:rPr>
        <w:t xml:space="preserve">beneficial occupancy date. </w:t>
      </w:r>
    </w:p>
    <w:p w14:paraId="2E85B1CB" w14:textId="714A30E3" w:rsidR="00F960B1" w:rsidRPr="0060472E" w:rsidRDefault="00270EDD" w:rsidP="0060472E">
      <w:pPr>
        <w:pStyle w:val="ListParagraph"/>
        <w:numPr>
          <w:ilvl w:val="0"/>
          <w:numId w:val="1"/>
        </w:numPr>
        <w:spacing w:after="0" w:line="240" w:lineRule="auto"/>
        <w:rPr>
          <w:rFonts w:ascii="Calibri" w:eastAsia="Calibri" w:hAnsi="Calibri" w:cs="Times New Roman"/>
          <w:kern w:val="0"/>
          <w:sz w:val="24"/>
          <w:szCs w:val="24"/>
          <w14:ligatures w14:val="none"/>
        </w:rPr>
      </w:pPr>
      <w:r w:rsidRPr="0060472E">
        <w:rPr>
          <w:rFonts w:ascii="Calibri" w:eastAsia="Calibri" w:hAnsi="Calibri" w:cs="Times New Roman"/>
          <w:kern w:val="0"/>
          <w:sz w:val="24"/>
          <w:szCs w:val="24"/>
          <w14:ligatures w14:val="none"/>
        </w:rPr>
        <w:t xml:space="preserve">There should be only one </w:t>
      </w:r>
      <w:r w:rsidR="00F345C6" w:rsidRPr="0060472E">
        <w:rPr>
          <w:rFonts w:ascii="Calibri" w:eastAsia="Calibri" w:hAnsi="Calibri" w:cs="Times New Roman"/>
          <w:kern w:val="0"/>
          <w:sz w:val="24"/>
          <w:szCs w:val="24"/>
          <w14:ligatures w14:val="none"/>
        </w:rPr>
        <w:t>solicitation</w:t>
      </w:r>
      <w:r w:rsidRPr="0060472E">
        <w:rPr>
          <w:rFonts w:ascii="Calibri" w:eastAsia="Calibri" w:hAnsi="Calibri" w:cs="Times New Roman"/>
          <w:kern w:val="0"/>
          <w:sz w:val="24"/>
          <w:szCs w:val="24"/>
          <w14:ligatures w14:val="none"/>
        </w:rPr>
        <w:t xml:space="preserve"> for both </w:t>
      </w:r>
      <w:r w:rsidR="00F345C6" w:rsidRPr="0060472E">
        <w:rPr>
          <w:rFonts w:ascii="Calibri" w:eastAsia="Calibri" w:hAnsi="Calibri" w:cs="Times New Roman"/>
          <w:kern w:val="0"/>
          <w:sz w:val="24"/>
          <w:szCs w:val="24"/>
          <w14:ligatures w14:val="none"/>
        </w:rPr>
        <w:t>current and new eligibility criteria</w:t>
      </w:r>
      <w:r w:rsidR="004A480A" w:rsidRPr="0060472E">
        <w:rPr>
          <w:rFonts w:ascii="Calibri" w:eastAsia="Calibri" w:hAnsi="Calibri" w:cs="Times New Roman"/>
          <w:kern w:val="0"/>
          <w:sz w:val="24"/>
          <w:szCs w:val="24"/>
          <w14:ligatures w14:val="none"/>
        </w:rPr>
        <w:t xml:space="preserve">. The FAAB is concerned that a phased </w:t>
      </w:r>
      <w:r w:rsidR="00DE022A" w:rsidRPr="0060472E">
        <w:rPr>
          <w:rFonts w:ascii="Calibri" w:eastAsia="Calibri" w:hAnsi="Calibri" w:cs="Times New Roman"/>
          <w:kern w:val="0"/>
          <w:sz w:val="24"/>
          <w:szCs w:val="24"/>
          <w14:ligatures w14:val="none"/>
        </w:rPr>
        <w:t xml:space="preserve">approach </w:t>
      </w:r>
      <w:r w:rsidR="00E734C9" w:rsidRPr="0060472E">
        <w:rPr>
          <w:rFonts w:ascii="Calibri" w:eastAsia="Calibri" w:hAnsi="Calibri" w:cs="Times New Roman"/>
          <w:kern w:val="0"/>
          <w:sz w:val="24"/>
          <w:szCs w:val="24"/>
          <w14:ligatures w14:val="none"/>
        </w:rPr>
        <w:t>would result in only one round of projects being funded</w:t>
      </w:r>
      <w:r w:rsidR="0060472E" w:rsidRPr="0060472E">
        <w:rPr>
          <w:rFonts w:ascii="Calibri" w:eastAsia="Calibri" w:hAnsi="Calibri" w:cs="Times New Roman"/>
          <w:kern w:val="0"/>
          <w:sz w:val="24"/>
          <w:szCs w:val="24"/>
          <w14:ligatures w14:val="none"/>
        </w:rPr>
        <w:t>.</w:t>
      </w:r>
    </w:p>
    <w:p w14:paraId="667D6B23" w14:textId="77777777" w:rsidR="0091046C" w:rsidRDefault="0091046C" w:rsidP="0048526B">
      <w:pPr>
        <w:spacing w:after="0" w:line="240" w:lineRule="auto"/>
        <w:rPr>
          <w:rFonts w:ascii="Calibri" w:eastAsia="Calibri" w:hAnsi="Calibri" w:cs="Times New Roman"/>
          <w:kern w:val="0"/>
          <w:sz w:val="24"/>
          <w:szCs w:val="24"/>
          <w14:ligatures w14:val="none"/>
        </w:rPr>
      </w:pPr>
    </w:p>
    <w:p w14:paraId="7D016732" w14:textId="68A345A6" w:rsidR="0060472E" w:rsidRDefault="00CB08F7" w:rsidP="0048526B">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For a full </w:t>
      </w:r>
      <w:r w:rsidR="00BF7D19">
        <w:rPr>
          <w:rFonts w:ascii="Calibri" w:eastAsia="Calibri" w:hAnsi="Calibri" w:cs="Times New Roman"/>
          <w:kern w:val="0"/>
          <w:sz w:val="24"/>
          <w:szCs w:val="24"/>
          <w14:ligatures w14:val="none"/>
        </w:rPr>
        <w:t>FAAB recommendations list</w:t>
      </w:r>
      <w:r w:rsidR="007413A5">
        <w:rPr>
          <w:rFonts w:ascii="Calibri" w:eastAsia="Calibri" w:hAnsi="Calibri" w:cs="Times New Roman"/>
          <w:kern w:val="0"/>
          <w:sz w:val="24"/>
          <w:szCs w:val="24"/>
          <w14:ligatures w14:val="none"/>
        </w:rPr>
        <w:t>, please see</w:t>
      </w:r>
      <w:r>
        <w:rPr>
          <w:rFonts w:ascii="Calibri" w:eastAsia="Calibri" w:hAnsi="Calibri" w:cs="Times New Roman"/>
          <w:kern w:val="0"/>
          <w:sz w:val="24"/>
          <w:szCs w:val="24"/>
          <w14:ligatures w14:val="none"/>
        </w:rPr>
        <w:t xml:space="preserve"> the </w:t>
      </w:r>
      <w:r w:rsidR="0091046C">
        <w:rPr>
          <w:rFonts w:ascii="Calibri" w:eastAsia="Calibri" w:hAnsi="Calibri" w:cs="Times New Roman"/>
          <w:kern w:val="0"/>
          <w:sz w:val="24"/>
          <w:szCs w:val="24"/>
          <w14:ligatures w14:val="none"/>
        </w:rPr>
        <w:t>July 3 letter</w:t>
      </w:r>
      <w:r w:rsidR="008775A2">
        <w:rPr>
          <w:rFonts w:ascii="Calibri" w:eastAsia="Calibri" w:hAnsi="Calibri" w:cs="Times New Roman"/>
          <w:kern w:val="0"/>
          <w:sz w:val="24"/>
          <w:szCs w:val="24"/>
          <w14:ligatures w14:val="none"/>
        </w:rPr>
        <w:t xml:space="preserve"> at </w:t>
      </w:r>
      <w:hyperlink r:id="rId8" w:anchor="materials" w:history="1">
        <w:r w:rsidR="008775A2" w:rsidRPr="008775A2">
          <w:rPr>
            <w:rStyle w:val="Hyperlink"/>
            <w:rFonts w:ascii="Calibri" w:eastAsia="Calibri" w:hAnsi="Calibri" w:cs="Times New Roman"/>
            <w:kern w:val="0"/>
            <w:sz w:val="24"/>
            <w:szCs w:val="24"/>
            <w14:ligatures w14:val="none"/>
          </w:rPr>
          <w:t>https://www.tribalselfgov.org/advisory-committees/tsgac/#materials</w:t>
        </w:r>
      </w:hyperlink>
      <w:r w:rsidR="008775A2">
        <w:rPr>
          <w:rFonts w:ascii="Calibri" w:eastAsia="Calibri" w:hAnsi="Calibri" w:cs="Times New Roman"/>
          <w:kern w:val="0"/>
          <w:sz w:val="24"/>
          <w:szCs w:val="24"/>
          <w14:ligatures w14:val="none"/>
        </w:rPr>
        <w:t xml:space="preserve">. </w:t>
      </w:r>
    </w:p>
    <w:p w14:paraId="01E489AA" w14:textId="77777777" w:rsidR="0060472E" w:rsidRPr="0023649B" w:rsidRDefault="0060472E" w:rsidP="0048526B">
      <w:pPr>
        <w:spacing w:after="0" w:line="240" w:lineRule="auto"/>
        <w:rPr>
          <w:rFonts w:ascii="Calibri" w:eastAsia="Calibri" w:hAnsi="Calibri" w:cs="Times New Roman"/>
          <w:kern w:val="0"/>
          <w:sz w:val="24"/>
          <w:szCs w:val="24"/>
          <w14:ligatures w14:val="none"/>
        </w:rPr>
      </w:pPr>
    </w:p>
    <w:p w14:paraId="36B80805" w14:textId="1D14B35E" w:rsidR="0082003A" w:rsidRDefault="0082003A" w:rsidP="0048526B">
      <w:pPr>
        <w:spacing w:after="0" w:line="240" w:lineRule="auto"/>
        <w:rPr>
          <w:rFonts w:ascii="Calibri" w:eastAsia="Calibri" w:hAnsi="Calibri" w:cs="Times New Roman"/>
          <w:b/>
          <w:bCs/>
          <w:kern w:val="0"/>
          <w:sz w:val="24"/>
          <w:szCs w:val="24"/>
          <w:u w:val="single"/>
          <w14:ligatures w14:val="none"/>
        </w:rPr>
      </w:pPr>
      <w:r>
        <w:rPr>
          <w:rFonts w:ascii="Calibri" w:eastAsia="Calibri" w:hAnsi="Calibri" w:cs="Times New Roman"/>
          <w:b/>
          <w:bCs/>
          <w:kern w:val="0"/>
          <w:sz w:val="24"/>
          <w:szCs w:val="24"/>
          <w:u w:val="single"/>
          <w14:ligatures w14:val="none"/>
        </w:rPr>
        <w:t>Budget Update</w:t>
      </w:r>
    </w:p>
    <w:p w14:paraId="0DFF43AE" w14:textId="4D309E2E" w:rsidR="0082003A" w:rsidRDefault="0082003A" w:rsidP="0048526B">
      <w:pPr>
        <w:spacing w:after="0" w:line="240" w:lineRule="auto"/>
        <w:rPr>
          <w:rFonts w:ascii="Calibri" w:hAnsi="Calibri" w:cs="Calibri"/>
          <w:i/>
          <w:iCs/>
          <w:sz w:val="24"/>
          <w:szCs w:val="24"/>
        </w:rPr>
      </w:pPr>
      <w:r w:rsidRPr="000652F1">
        <w:rPr>
          <w:rFonts w:ascii="Calibri" w:hAnsi="Calibri" w:cs="Calibri"/>
          <w:i/>
          <w:iCs/>
          <w:sz w:val="24"/>
          <w:szCs w:val="24"/>
        </w:rPr>
        <w:t>Julian Curtis, Director, Office of Finance and Accounting, IHS</w:t>
      </w:r>
    </w:p>
    <w:p w14:paraId="3ED0C059" w14:textId="77777777" w:rsidR="00213F0D" w:rsidRDefault="00213F0D" w:rsidP="0048526B">
      <w:pPr>
        <w:spacing w:after="0" w:line="240" w:lineRule="auto"/>
        <w:rPr>
          <w:rFonts w:ascii="Calibri" w:hAnsi="Calibri" w:cs="Calibri"/>
          <w:i/>
          <w:iCs/>
          <w:sz w:val="24"/>
          <w:szCs w:val="24"/>
        </w:rPr>
      </w:pPr>
    </w:p>
    <w:p w14:paraId="0723F0BD" w14:textId="57D5674B" w:rsidR="00213F0D" w:rsidRPr="00153B2D" w:rsidRDefault="00153B2D" w:rsidP="0048526B">
      <w:pPr>
        <w:spacing w:after="0" w:line="240" w:lineRule="auto"/>
        <w:rPr>
          <w:rFonts w:ascii="Calibri" w:hAnsi="Calibri" w:cs="Calibri"/>
          <w:sz w:val="24"/>
          <w:szCs w:val="24"/>
        </w:rPr>
      </w:pPr>
      <w:r w:rsidRPr="00153B2D">
        <w:rPr>
          <w:rFonts w:ascii="Calibri" w:hAnsi="Calibri" w:cs="Calibri"/>
          <w:sz w:val="24"/>
          <w:szCs w:val="24"/>
        </w:rPr>
        <w:t>The FY 2025 President</w:t>
      </w:r>
      <w:r w:rsidR="00CF593D">
        <w:rPr>
          <w:rFonts w:ascii="Calibri" w:hAnsi="Calibri" w:cs="Calibri"/>
          <w:sz w:val="24"/>
          <w:szCs w:val="24"/>
        </w:rPr>
        <w:t>'</w:t>
      </w:r>
      <w:r w:rsidRPr="00153B2D">
        <w:rPr>
          <w:rFonts w:ascii="Calibri" w:hAnsi="Calibri" w:cs="Calibri"/>
          <w:sz w:val="24"/>
          <w:szCs w:val="24"/>
        </w:rPr>
        <w:t xml:space="preserve">s Budget aims to address the longstanding underinvestment in the IHS. </w:t>
      </w:r>
    </w:p>
    <w:p w14:paraId="2C9920DE" w14:textId="34C97D6B" w:rsidR="00F11E98" w:rsidRDefault="00293428" w:rsidP="0048526B">
      <w:pPr>
        <w:spacing w:after="0" w:line="240" w:lineRule="auto"/>
        <w:rPr>
          <w:rFonts w:ascii="Calibri" w:hAnsi="Calibri" w:cs="Calibri"/>
          <w:sz w:val="24"/>
          <w:szCs w:val="24"/>
        </w:rPr>
      </w:pPr>
      <w:r>
        <w:rPr>
          <w:rFonts w:ascii="Calibri" w:hAnsi="Calibri" w:cs="Calibri"/>
          <w:sz w:val="24"/>
          <w:szCs w:val="24"/>
        </w:rPr>
        <w:t xml:space="preserve">In FY 2025, the House </w:t>
      </w:r>
      <w:r w:rsidR="00BF34C3">
        <w:rPr>
          <w:rFonts w:ascii="Calibri" w:hAnsi="Calibri" w:cs="Calibri"/>
          <w:sz w:val="24"/>
          <w:szCs w:val="24"/>
        </w:rPr>
        <w:t>b</w:t>
      </w:r>
      <w:r>
        <w:rPr>
          <w:rFonts w:ascii="Calibri" w:hAnsi="Calibri" w:cs="Calibri"/>
          <w:sz w:val="24"/>
          <w:szCs w:val="24"/>
        </w:rPr>
        <w:t xml:space="preserve">ill provides $8.6 billion in discretionary funding for the IHS, which is </w:t>
      </w:r>
      <w:r w:rsidR="00964F6B">
        <w:rPr>
          <w:rFonts w:ascii="Calibri" w:hAnsi="Calibri" w:cs="Calibri"/>
          <w:sz w:val="24"/>
          <w:szCs w:val="24"/>
        </w:rPr>
        <w:t xml:space="preserve">+$1.6 million above the FY 2024 enacted. </w:t>
      </w:r>
      <w:r w:rsidR="00352193">
        <w:rPr>
          <w:rFonts w:ascii="Calibri" w:hAnsi="Calibri" w:cs="Calibri"/>
          <w:sz w:val="24"/>
          <w:szCs w:val="24"/>
        </w:rPr>
        <w:t xml:space="preserve">The bill fully funds </w:t>
      </w:r>
      <w:r w:rsidR="00BF34C3">
        <w:rPr>
          <w:rFonts w:ascii="Calibri" w:hAnsi="Calibri" w:cs="Calibri"/>
          <w:sz w:val="24"/>
          <w:szCs w:val="24"/>
        </w:rPr>
        <w:t>the staffing</w:t>
      </w:r>
      <w:r w:rsidR="00352193">
        <w:rPr>
          <w:rFonts w:ascii="Calibri" w:hAnsi="Calibri" w:cs="Calibri"/>
          <w:sz w:val="24"/>
          <w:szCs w:val="24"/>
        </w:rPr>
        <w:t xml:space="preserve"> of newly constructed facilities </w:t>
      </w:r>
      <w:r w:rsidR="00BB48F5">
        <w:rPr>
          <w:rFonts w:ascii="Calibri" w:hAnsi="Calibri" w:cs="Calibri"/>
          <w:sz w:val="24"/>
          <w:szCs w:val="24"/>
        </w:rPr>
        <w:t xml:space="preserve">through a $91 million increase. </w:t>
      </w:r>
    </w:p>
    <w:p w14:paraId="520F2207" w14:textId="77777777" w:rsidR="00BF34C3" w:rsidRDefault="00BF34C3" w:rsidP="0048526B">
      <w:pPr>
        <w:spacing w:after="0" w:line="240" w:lineRule="auto"/>
        <w:rPr>
          <w:rFonts w:ascii="Calibri" w:hAnsi="Calibri" w:cs="Calibri"/>
          <w:sz w:val="24"/>
          <w:szCs w:val="24"/>
        </w:rPr>
      </w:pPr>
    </w:p>
    <w:p w14:paraId="78A0B1C0" w14:textId="1FAE74CB" w:rsidR="00BF34C3" w:rsidRDefault="00BF34C3" w:rsidP="0048526B">
      <w:pPr>
        <w:spacing w:after="0" w:line="240" w:lineRule="auto"/>
        <w:rPr>
          <w:rFonts w:ascii="Calibri" w:hAnsi="Calibri" w:cs="Calibri"/>
          <w:sz w:val="24"/>
          <w:szCs w:val="24"/>
        </w:rPr>
      </w:pPr>
      <w:r>
        <w:rPr>
          <w:rFonts w:ascii="Calibri" w:hAnsi="Calibri" w:cs="Calibri"/>
          <w:sz w:val="24"/>
          <w:szCs w:val="24"/>
        </w:rPr>
        <w:t xml:space="preserve">The House bill provides a significant increase above FY 2024 enacted </w:t>
      </w:r>
      <w:r w:rsidR="004239FC">
        <w:rPr>
          <w:rFonts w:ascii="Calibri" w:hAnsi="Calibri" w:cs="Calibri"/>
          <w:sz w:val="24"/>
          <w:szCs w:val="24"/>
        </w:rPr>
        <w:t>overall</w:t>
      </w:r>
      <w:r>
        <w:rPr>
          <w:rFonts w:ascii="Calibri" w:hAnsi="Calibri" w:cs="Calibri"/>
          <w:sz w:val="24"/>
          <w:szCs w:val="24"/>
        </w:rPr>
        <w:t>; however, i</w:t>
      </w:r>
      <w:r w:rsidR="004239FC">
        <w:rPr>
          <w:rFonts w:ascii="Calibri" w:hAnsi="Calibri" w:cs="Calibri"/>
          <w:sz w:val="24"/>
          <w:szCs w:val="24"/>
        </w:rPr>
        <w:t xml:space="preserve">t also includes a critical reduction of -$115 million for the Electronic Health Record modernization project. </w:t>
      </w:r>
    </w:p>
    <w:p w14:paraId="79C374D9" w14:textId="77777777" w:rsidR="00C57670" w:rsidRDefault="00C57670" w:rsidP="0048526B">
      <w:pPr>
        <w:spacing w:after="0" w:line="240" w:lineRule="auto"/>
        <w:rPr>
          <w:rFonts w:ascii="Calibri" w:hAnsi="Calibri" w:cs="Calibri"/>
          <w:sz w:val="24"/>
          <w:szCs w:val="24"/>
        </w:rPr>
      </w:pPr>
    </w:p>
    <w:p w14:paraId="2E757B32" w14:textId="3D9B243B" w:rsidR="00C57670" w:rsidRDefault="00C57670" w:rsidP="0048526B">
      <w:pPr>
        <w:spacing w:after="0" w:line="240" w:lineRule="auto"/>
        <w:rPr>
          <w:rFonts w:ascii="Calibri" w:hAnsi="Calibri" w:cs="Calibri"/>
          <w:sz w:val="24"/>
          <w:szCs w:val="24"/>
        </w:rPr>
      </w:pPr>
      <w:r>
        <w:rPr>
          <w:rFonts w:ascii="Calibri" w:hAnsi="Calibri" w:cs="Calibri"/>
          <w:sz w:val="24"/>
          <w:szCs w:val="24"/>
        </w:rPr>
        <w:t>The House bill provides a significant increase for the IHS in FY 2025,</w:t>
      </w:r>
      <w:r w:rsidR="00E44678">
        <w:rPr>
          <w:rFonts w:ascii="Calibri" w:hAnsi="Calibri" w:cs="Calibri"/>
          <w:sz w:val="24"/>
          <w:szCs w:val="24"/>
        </w:rPr>
        <w:t xml:space="preserve"> </w:t>
      </w:r>
      <w:r w:rsidR="007413A5">
        <w:rPr>
          <w:rFonts w:ascii="Calibri" w:hAnsi="Calibri" w:cs="Calibri"/>
          <w:sz w:val="24"/>
          <w:szCs w:val="24"/>
        </w:rPr>
        <w:t>which comes from reductions to other agencies in the interior</w:t>
      </w:r>
      <w:r w:rsidR="00E44678">
        <w:rPr>
          <w:rFonts w:ascii="Calibri" w:hAnsi="Calibri" w:cs="Calibri"/>
          <w:sz w:val="24"/>
          <w:szCs w:val="24"/>
        </w:rPr>
        <w:t xml:space="preserve"> appropriation. </w:t>
      </w:r>
      <w:r w:rsidR="000B3376">
        <w:rPr>
          <w:rFonts w:ascii="Calibri" w:hAnsi="Calibri" w:cs="Calibri"/>
          <w:sz w:val="24"/>
          <w:szCs w:val="24"/>
        </w:rPr>
        <w:t xml:space="preserve">The Senate is unlikely to accept reductions of that magnitude. The Senate Mark-up is scheduled for July 25. </w:t>
      </w:r>
    </w:p>
    <w:p w14:paraId="501CB16A" w14:textId="77777777" w:rsidR="00DB090F" w:rsidRDefault="00DB090F" w:rsidP="0048526B">
      <w:pPr>
        <w:spacing w:after="0" w:line="240" w:lineRule="auto"/>
        <w:rPr>
          <w:rFonts w:ascii="Calibri" w:hAnsi="Calibri" w:cs="Calibri"/>
          <w:sz w:val="24"/>
          <w:szCs w:val="24"/>
        </w:rPr>
      </w:pPr>
    </w:p>
    <w:p w14:paraId="248401D1" w14:textId="244A43ED" w:rsidR="00DB090F" w:rsidRDefault="00DB090F" w:rsidP="0048526B">
      <w:pPr>
        <w:spacing w:after="0" w:line="240" w:lineRule="auto"/>
        <w:rPr>
          <w:rFonts w:ascii="Calibri" w:hAnsi="Calibri" w:cs="Calibri"/>
          <w:b/>
          <w:bCs/>
          <w:sz w:val="24"/>
          <w:szCs w:val="24"/>
        </w:rPr>
      </w:pPr>
      <w:r w:rsidRPr="00DB090F">
        <w:rPr>
          <w:rFonts w:ascii="Calibri" w:hAnsi="Calibri" w:cs="Calibri"/>
          <w:b/>
          <w:bCs/>
          <w:sz w:val="24"/>
          <w:szCs w:val="24"/>
        </w:rPr>
        <w:t xml:space="preserve">Impact of CSC SCOTUS Decision </w:t>
      </w:r>
    </w:p>
    <w:p w14:paraId="5E165C73" w14:textId="77777777" w:rsidR="00DB090F" w:rsidRDefault="00DB090F" w:rsidP="0048526B">
      <w:pPr>
        <w:spacing w:after="0" w:line="240" w:lineRule="auto"/>
        <w:rPr>
          <w:rFonts w:ascii="Calibri" w:hAnsi="Calibri" w:cs="Calibri"/>
          <w:b/>
          <w:bCs/>
          <w:sz w:val="24"/>
          <w:szCs w:val="24"/>
        </w:rPr>
      </w:pPr>
    </w:p>
    <w:p w14:paraId="730ECC08" w14:textId="14A6D2B4" w:rsidR="00DB090F" w:rsidRDefault="00F2326B" w:rsidP="0048526B">
      <w:pPr>
        <w:spacing w:after="0" w:line="240" w:lineRule="auto"/>
        <w:rPr>
          <w:rFonts w:ascii="Calibri" w:hAnsi="Calibri" w:cs="Calibri"/>
          <w:sz w:val="24"/>
          <w:szCs w:val="24"/>
        </w:rPr>
      </w:pPr>
      <w:r>
        <w:rPr>
          <w:rFonts w:ascii="Calibri" w:hAnsi="Calibri" w:cs="Calibri"/>
          <w:sz w:val="24"/>
          <w:szCs w:val="24"/>
        </w:rPr>
        <w:t>The cost</w:t>
      </w:r>
      <w:r w:rsidR="00816DCE" w:rsidRPr="00816DCE">
        <w:rPr>
          <w:rFonts w:ascii="Calibri" w:hAnsi="Calibri" w:cs="Calibri"/>
          <w:sz w:val="24"/>
          <w:szCs w:val="24"/>
        </w:rPr>
        <w:t xml:space="preserve"> impact for new CSC proposals will </w:t>
      </w:r>
      <w:r w:rsidR="00BF7D19">
        <w:rPr>
          <w:rFonts w:ascii="Calibri" w:hAnsi="Calibri" w:cs="Calibri"/>
          <w:sz w:val="24"/>
          <w:szCs w:val="24"/>
        </w:rPr>
        <w:t>appear</w:t>
      </w:r>
      <w:r w:rsidR="00816DCE" w:rsidRPr="00816DCE">
        <w:rPr>
          <w:rFonts w:ascii="Calibri" w:hAnsi="Calibri" w:cs="Calibri"/>
          <w:sz w:val="24"/>
          <w:szCs w:val="24"/>
        </w:rPr>
        <w:t xml:space="preserve"> as early as FY 2025</w:t>
      </w:r>
      <w:r>
        <w:rPr>
          <w:rFonts w:ascii="Calibri" w:hAnsi="Calibri" w:cs="Calibri"/>
          <w:sz w:val="24"/>
          <w:szCs w:val="24"/>
        </w:rPr>
        <w:t xml:space="preserve">. The impact of funding CSC increases within the Fiscal Responsibility Act caps in FY 2024 already resulted in funding reductions to critical facilities programs and EHR modernization. In FY 2025, direct health services and critical priorities could be at significant risk. </w:t>
      </w:r>
    </w:p>
    <w:p w14:paraId="59FFD7BB" w14:textId="265A1F6E" w:rsidR="00215F34" w:rsidRDefault="00215F34" w:rsidP="0048526B">
      <w:pPr>
        <w:spacing w:after="0" w:line="240" w:lineRule="auto"/>
        <w:rPr>
          <w:rFonts w:ascii="Calibri" w:hAnsi="Calibri" w:cs="Calibri"/>
          <w:sz w:val="24"/>
          <w:szCs w:val="24"/>
        </w:rPr>
      </w:pPr>
      <w:r>
        <w:rPr>
          <w:rFonts w:ascii="Calibri" w:hAnsi="Calibri" w:cs="Calibri"/>
          <w:sz w:val="24"/>
          <w:szCs w:val="24"/>
        </w:rPr>
        <w:t>If Congress has to reduce funding for IHS Services or Facilities activities to pay for CSC increases in FY 2025 and beyond,</w:t>
      </w:r>
      <w:r w:rsidR="00854770">
        <w:rPr>
          <w:rFonts w:ascii="Calibri" w:hAnsi="Calibri" w:cs="Calibri"/>
          <w:sz w:val="24"/>
          <w:szCs w:val="24"/>
        </w:rPr>
        <w:t xml:space="preserve"> that </w:t>
      </w:r>
      <w:r w:rsidR="007D365E">
        <w:rPr>
          <w:rFonts w:ascii="Calibri" w:hAnsi="Calibri" w:cs="Calibri"/>
          <w:sz w:val="24"/>
          <w:szCs w:val="24"/>
        </w:rPr>
        <w:t>will</w:t>
      </w:r>
      <w:r w:rsidR="00854770">
        <w:rPr>
          <w:rFonts w:ascii="Calibri" w:hAnsi="Calibri" w:cs="Calibri"/>
          <w:sz w:val="24"/>
          <w:szCs w:val="24"/>
        </w:rPr>
        <w:t xml:space="preserve"> reduce funding to ISDEAA Tribes, Direct Service Tribes, and Urban Indian Organizations. </w:t>
      </w:r>
    </w:p>
    <w:p w14:paraId="506DE50C" w14:textId="049EA1E8" w:rsidR="00BB623C" w:rsidRDefault="00BB623C" w:rsidP="0048526B">
      <w:pPr>
        <w:spacing w:after="0" w:line="240" w:lineRule="auto"/>
        <w:rPr>
          <w:rFonts w:ascii="Calibri" w:hAnsi="Calibri" w:cs="Calibri"/>
          <w:sz w:val="24"/>
          <w:szCs w:val="24"/>
        </w:rPr>
      </w:pPr>
    </w:p>
    <w:p w14:paraId="72673488" w14:textId="5EDF1B2B" w:rsidR="000B3376" w:rsidRDefault="00DA5FE6" w:rsidP="0048526B">
      <w:pPr>
        <w:spacing w:after="0" w:line="240" w:lineRule="auto"/>
        <w:rPr>
          <w:rFonts w:ascii="Calibri" w:hAnsi="Calibri" w:cs="Calibri"/>
          <w:b/>
          <w:bCs/>
          <w:sz w:val="24"/>
          <w:szCs w:val="24"/>
        </w:rPr>
      </w:pPr>
      <w:r w:rsidRPr="007D365E">
        <w:rPr>
          <w:rFonts w:ascii="Calibri" w:hAnsi="Calibri" w:cs="Calibri"/>
          <w:b/>
          <w:bCs/>
          <w:sz w:val="24"/>
          <w:szCs w:val="24"/>
        </w:rPr>
        <w:t xml:space="preserve">Unobligated Balances Update </w:t>
      </w:r>
    </w:p>
    <w:p w14:paraId="04F31210" w14:textId="77777777" w:rsidR="00003DBF" w:rsidRDefault="00003DBF" w:rsidP="0048526B">
      <w:pPr>
        <w:spacing w:after="0" w:line="240" w:lineRule="auto"/>
        <w:rPr>
          <w:rFonts w:ascii="Calibri" w:hAnsi="Calibri" w:cs="Calibri"/>
          <w:b/>
          <w:bCs/>
          <w:sz w:val="24"/>
          <w:szCs w:val="24"/>
        </w:rPr>
      </w:pPr>
    </w:p>
    <w:p w14:paraId="748C671C" w14:textId="03C9BA0A" w:rsidR="00003DBF" w:rsidRPr="00003DBF" w:rsidRDefault="00003DBF" w:rsidP="0048526B">
      <w:pPr>
        <w:spacing w:after="0" w:line="240" w:lineRule="auto"/>
        <w:rPr>
          <w:rFonts w:ascii="Calibri" w:hAnsi="Calibri" w:cs="Calibri"/>
          <w:sz w:val="24"/>
          <w:szCs w:val="24"/>
        </w:rPr>
      </w:pPr>
      <w:r w:rsidRPr="00003DBF">
        <w:rPr>
          <w:rFonts w:ascii="Calibri" w:hAnsi="Calibri" w:cs="Calibri"/>
          <w:sz w:val="24"/>
          <w:szCs w:val="24"/>
        </w:rPr>
        <w:t xml:space="preserve">19% </w:t>
      </w:r>
      <w:r w:rsidR="003F1DA0">
        <w:rPr>
          <w:rFonts w:ascii="Calibri" w:hAnsi="Calibri" w:cs="Calibri"/>
          <w:sz w:val="24"/>
          <w:szCs w:val="24"/>
        </w:rPr>
        <w:t xml:space="preserve"> ($440M) </w:t>
      </w:r>
      <w:r w:rsidRPr="00003DBF">
        <w:rPr>
          <w:rFonts w:ascii="Calibri" w:hAnsi="Calibri" w:cs="Calibri"/>
          <w:sz w:val="24"/>
          <w:szCs w:val="24"/>
        </w:rPr>
        <w:t xml:space="preserve">of prior year unobligated balances is for </w:t>
      </w:r>
      <w:r>
        <w:rPr>
          <w:rFonts w:ascii="Calibri" w:hAnsi="Calibri" w:cs="Calibri"/>
          <w:sz w:val="24"/>
          <w:szCs w:val="24"/>
        </w:rPr>
        <w:t>health care services &amp; related activities</w:t>
      </w:r>
      <w:r w:rsidR="00192CD2">
        <w:rPr>
          <w:rFonts w:ascii="Calibri" w:hAnsi="Calibri" w:cs="Calibri"/>
          <w:sz w:val="24"/>
          <w:szCs w:val="24"/>
        </w:rPr>
        <w:t xml:space="preserve">, 13% </w:t>
      </w:r>
      <w:r w:rsidR="003F1DA0">
        <w:rPr>
          <w:rFonts w:ascii="Calibri" w:hAnsi="Calibri" w:cs="Calibri"/>
          <w:sz w:val="24"/>
          <w:szCs w:val="24"/>
        </w:rPr>
        <w:t xml:space="preserve">($291M) </w:t>
      </w:r>
      <w:r w:rsidR="00192CD2">
        <w:rPr>
          <w:rFonts w:ascii="Calibri" w:hAnsi="Calibri" w:cs="Calibri"/>
          <w:sz w:val="24"/>
          <w:szCs w:val="24"/>
        </w:rPr>
        <w:t xml:space="preserve">is for purchase referred </w:t>
      </w:r>
      <w:r w:rsidR="007413A5">
        <w:rPr>
          <w:rFonts w:ascii="Calibri" w:hAnsi="Calibri" w:cs="Calibri"/>
          <w:sz w:val="24"/>
          <w:szCs w:val="24"/>
        </w:rPr>
        <w:t xml:space="preserve">to </w:t>
      </w:r>
      <w:r w:rsidR="00192CD2">
        <w:rPr>
          <w:rFonts w:ascii="Calibri" w:hAnsi="Calibri" w:cs="Calibri"/>
          <w:sz w:val="24"/>
          <w:szCs w:val="24"/>
        </w:rPr>
        <w:t>care, and 69%</w:t>
      </w:r>
      <w:r w:rsidR="003F1DA0">
        <w:rPr>
          <w:rFonts w:ascii="Calibri" w:hAnsi="Calibri" w:cs="Calibri"/>
          <w:sz w:val="24"/>
          <w:szCs w:val="24"/>
        </w:rPr>
        <w:t xml:space="preserve"> ($1.6B)</w:t>
      </w:r>
      <w:r w:rsidR="00192CD2">
        <w:rPr>
          <w:rFonts w:ascii="Calibri" w:hAnsi="Calibri" w:cs="Calibri"/>
          <w:sz w:val="24"/>
          <w:szCs w:val="24"/>
        </w:rPr>
        <w:t xml:space="preserve"> is</w:t>
      </w:r>
      <w:r w:rsidR="003F1DA0">
        <w:rPr>
          <w:rFonts w:ascii="Calibri" w:hAnsi="Calibri" w:cs="Calibri"/>
          <w:sz w:val="24"/>
          <w:szCs w:val="24"/>
        </w:rPr>
        <w:t xml:space="preserve"> for</w:t>
      </w:r>
      <w:r w:rsidR="00192CD2">
        <w:rPr>
          <w:rFonts w:ascii="Calibri" w:hAnsi="Calibri" w:cs="Calibri"/>
          <w:sz w:val="24"/>
          <w:szCs w:val="24"/>
        </w:rPr>
        <w:t xml:space="preserve"> project-based activities. </w:t>
      </w:r>
    </w:p>
    <w:p w14:paraId="156D396C" w14:textId="77777777" w:rsidR="007D365E" w:rsidRDefault="007D365E" w:rsidP="0048526B">
      <w:pPr>
        <w:spacing w:after="0" w:line="240" w:lineRule="auto"/>
        <w:rPr>
          <w:rFonts w:ascii="Calibri" w:hAnsi="Calibri" w:cs="Calibri"/>
          <w:b/>
          <w:bCs/>
          <w:sz w:val="24"/>
          <w:szCs w:val="24"/>
        </w:rPr>
      </w:pPr>
    </w:p>
    <w:p w14:paraId="3DFA10E8" w14:textId="08A112C7" w:rsidR="007D365E" w:rsidRPr="00817564" w:rsidRDefault="002B63D0" w:rsidP="0048526B">
      <w:pPr>
        <w:spacing w:after="0" w:line="240" w:lineRule="auto"/>
        <w:rPr>
          <w:rFonts w:ascii="Calibri" w:hAnsi="Calibri" w:cs="Calibri"/>
          <w:sz w:val="24"/>
          <w:szCs w:val="24"/>
        </w:rPr>
      </w:pPr>
      <w:r>
        <w:rPr>
          <w:rFonts w:ascii="Calibri" w:hAnsi="Calibri" w:cs="Calibri"/>
          <w:sz w:val="24"/>
          <w:szCs w:val="24"/>
        </w:rPr>
        <w:lastRenderedPageBreak/>
        <w:t xml:space="preserve">A comparison of </w:t>
      </w:r>
      <w:r w:rsidR="007413A5">
        <w:rPr>
          <w:rFonts w:ascii="Calibri" w:hAnsi="Calibri" w:cs="Calibri"/>
          <w:sz w:val="24"/>
          <w:szCs w:val="24"/>
        </w:rPr>
        <w:t>the prior year's</w:t>
      </w:r>
      <w:r w:rsidR="009F79D9">
        <w:rPr>
          <w:rFonts w:ascii="Calibri" w:hAnsi="Calibri" w:cs="Calibri"/>
          <w:sz w:val="24"/>
          <w:szCs w:val="24"/>
        </w:rPr>
        <w:t xml:space="preserve"> </w:t>
      </w:r>
      <w:r w:rsidR="009F79D9" w:rsidRPr="009F79D9">
        <w:rPr>
          <w:rFonts w:ascii="Calibri" w:hAnsi="Calibri" w:cs="Calibri"/>
          <w:sz w:val="24"/>
          <w:szCs w:val="24"/>
        </w:rPr>
        <w:t>(July 2023 to July 2024)</w:t>
      </w:r>
      <w:r w:rsidR="009F79D9">
        <w:rPr>
          <w:rFonts w:ascii="Calibri" w:hAnsi="Calibri" w:cs="Calibri"/>
          <w:sz w:val="24"/>
          <w:szCs w:val="24"/>
        </w:rPr>
        <w:t xml:space="preserve"> </w:t>
      </w:r>
      <w:r w:rsidR="00817564" w:rsidRPr="00817564">
        <w:rPr>
          <w:rFonts w:ascii="Calibri" w:hAnsi="Calibri" w:cs="Calibri"/>
          <w:sz w:val="24"/>
          <w:szCs w:val="24"/>
        </w:rPr>
        <w:t xml:space="preserve"> unobligated ba</w:t>
      </w:r>
      <w:r w:rsidR="009F79D9">
        <w:rPr>
          <w:rFonts w:ascii="Calibri" w:hAnsi="Calibri" w:cs="Calibri"/>
          <w:sz w:val="24"/>
          <w:szCs w:val="24"/>
        </w:rPr>
        <w:t>lances show</w:t>
      </w:r>
      <w:r w:rsidR="004035C2">
        <w:rPr>
          <w:rFonts w:ascii="Calibri" w:hAnsi="Calibri" w:cs="Calibri"/>
          <w:sz w:val="24"/>
          <w:szCs w:val="24"/>
        </w:rPr>
        <w:t>s</w:t>
      </w:r>
      <w:r w:rsidR="009F79D9">
        <w:rPr>
          <w:rFonts w:ascii="Calibri" w:hAnsi="Calibri" w:cs="Calibri"/>
          <w:sz w:val="24"/>
          <w:szCs w:val="24"/>
        </w:rPr>
        <w:t xml:space="preserve"> that the IHS has</w:t>
      </w:r>
      <w:r w:rsidR="004035C2">
        <w:rPr>
          <w:rFonts w:ascii="Calibri" w:hAnsi="Calibri" w:cs="Calibri"/>
          <w:sz w:val="24"/>
          <w:szCs w:val="24"/>
        </w:rPr>
        <w:t xml:space="preserve"> managed to get an </w:t>
      </w:r>
      <w:r w:rsidR="00FE58C0">
        <w:rPr>
          <w:rFonts w:ascii="Calibri" w:hAnsi="Calibri" w:cs="Calibri"/>
          <w:sz w:val="24"/>
          <w:szCs w:val="24"/>
        </w:rPr>
        <w:t xml:space="preserve">approximately 20% reduction in PRC balances. </w:t>
      </w:r>
      <w:r w:rsidR="00786882">
        <w:rPr>
          <w:rFonts w:ascii="Calibri" w:hAnsi="Calibri" w:cs="Calibri"/>
          <w:sz w:val="24"/>
          <w:szCs w:val="24"/>
        </w:rPr>
        <w:t>This is the lowest IHS</w:t>
      </w:r>
      <w:r w:rsidR="00CF593D">
        <w:rPr>
          <w:rFonts w:ascii="Calibri" w:hAnsi="Calibri" w:cs="Calibri"/>
          <w:sz w:val="24"/>
          <w:szCs w:val="24"/>
        </w:rPr>
        <w:t>'</w:t>
      </w:r>
      <w:r w:rsidR="00786882">
        <w:rPr>
          <w:rFonts w:ascii="Calibri" w:hAnsi="Calibri" w:cs="Calibri"/>
          <w:sz w:val="24"/>
          <w:szCs w:val="24"/>
        </w:rPr>
        <w:t xml:space="preserve"> PRC balance has </w:t>
      </w:r>
      <w:r w:rsidR="00A232BA">
        <w:rPr>
          <w:rFonts w:ascii="Calibri" w:hAnsi="Calibri" w:cs="Calibri"/>
          <w:sz w:val="24"/>
          <w:szCs w:val="24"/>
        </w:rPr>
        <w:t xml:space="preserve">been in years. </w:t>
      </w:r>
      <w:r w:rsidR="005D0335">
        <w:rPr>
          <w:rFonts w:ascii="Calibri" w:hAnsi="Calibri" w:cs="Calibri"/>
          <w:sz w:val="24"/>
          <w:szCs w:val="24"/>
        </w:rPr>
        <w:t xml:space="preserve">They are experiencing normalization </w:t>
      </w:r>
      <w:r w:rsidR="001242F9">
        <w:rPr>
          <w:rFonts w:ascii="Calibri" w:hAnsi="Calibri" w:cs="Calibri"/>
          <w:sz w:val="24"/>
          <w:szCs w:val="24"/>
        </w:rPr>
        <w:t>of the balances as they catch up from the pandemic</w:t>
      </w:r>
      <w:r w:rsidR="007413A5">
        <w:rPr>
          <w:rFonts w:ascii="Calibri" w:hAnsi="Calibri" w:cs="Calibri"/>
          <w:sz w:val="24"/>
          <w:szCs w:val="24"/>
        </w:rPr>
        <w:t>. The</w:t>
      </w:r>
      <w:r w:rsidR="00C7125E">
        <w:rPr>
          <w:rFonts w:ascii="Calibri" w:hAnsi="Calibri" w:cs="Calibri"/>
          <w:sz w:val="24"/>
          <w:szCs w:val="24"/>
        </w:rPr>
        <w:t xml:space="preserve"> COVID balances are exhausted, spending more typical appropriation again. </w:t>
      </w:r>
    </w:p>
    <w:p w14:paraId="1A3E3921" w14:textId="77777777" w:rsidR="004239FC" w:rsidRPr="009A0B19" w:rsidRDefault="004239FC" w:rsidP="0048526B">
      <w:pPr>
        <w:spacing w:after="0" w:line="240" w:lineRule="auto"/>
        <w:rPr>
          <w:rFonts w:ascii="Calibri" w:hAnsi="Calibri" w:cs="Calibri"/>
          <w:sz w:val="24"/>
          <w:szCs w:val="24"/>
        </w:rPr>
      </w:pPr>
    </w:p>
    <w:p w14:paraId="6726FD53" w14:textId="77777777" w:rsidR="00F11E98" w:rsidRPr="00F11E98" w:rsidRDefault="00F11E98" w:rsidP="00F11E98">
      <w:pPr>
        <w:spacing w:after="0" w:line="240" w:lineRule="auto"/>
        <w:rPr>
          <w:rFonts w:ascii="Calibri" w:hAnsi="Calibri" w:cs="Calibri"/>
          <w:b/>
          <w:bCs/>
          <w:sz w:val="24"/>
          <w:szCs w:val="24"/>
          <w:u w:val="single"/>
        </w:rPr>
      </w:pPr>
      <w:r w:rsidRPr="00F11E98">
        <w:rPr>
          <w:rFonts w:ascii="Calibri" w:hAnsi="Calibri" w:cs="Calibri"/>
          <w:b/>
          <w:bCs/>
          <w:sz w:val="24"/>
          <w:szCs w:val="24"/>
          <w:u w:val="single"/>
        </w:rPr>
        <w:t>ACA/IHCIA Update</w:t>
      </w:r>
    </w:p>
    <w:p w14:paraId="43EF55ED" w14:textId="5D944E3B" w:rsidR="00F11E98" w:rsidRDefault="00EA0BDF" w:rsidP="0048526B">
      <w:pPr>
        <w:spacing w:after="0" w:line="240" w:lineRule="auto"/>
        <w:rPr>
          <w:rFonts w:ascii="Calibri" w:hAnsi="Calibri" w:cs="Calibri"/>
          <w:i/>
          <w:iCs/>
          <w:sz w:val="24"/>
          <w:szCs w:val="24"/>
        </w:rPr>
      </w:pPr>
      <w:r>
        <w:rPr>
          <w:rFonts w:ascii="Calibri" w:hAnsi="Calibri" w:cs="Calibri"/>
          <w:i/>
          <w:iCs/>
          <w:sz w:val="24"/>
          <w:szCs w:val="24"/>
        </w:rPr>
        <w:t>Cyndi Ferguson, SENSE Inc. (ACA Project Lead)</w:t>
      </w:r>
    </w:p>
    <w:p w14:paraId="57EEC46E" w14:textId="77777777" w:rsidR="00EA0BDF" w:rsidRDefault="00EA0BDF" w:rsidP="0048526B">
      <w:pPr>
        <w:spacing w:after="0" w:line="240" w:lineRule="auto"/>
        <w:rPr>
          <w:rFonts w:ascii="Calibri" w:hAnsi="Calibri" w:cs="Calibri"/>
          <w:i/>
          <w:iCs/>
          <w:sz w:val="24"/>
          <w:szCs w:val="24"/>
        </w:rPr>
      </w:pPr>
    </w:p>
    <w:p w14:paraId="1078CAC9" w14:textId="75A2A652" w:rsidR="000D6208" w:rsidRDefault="000D6208" w:rsidP="0048526B">
      <w:pPr>
        <w:spacing w:after="0" w:line="240" w:lineRule="auto"/>
        <w:rPr>
          <w:rFonts w:ascii="Calibri" w:hAnsi="Calibri" w:cs="Calibri"/>
          <w:sz w:val="24"/>
          <w:szCs w:val="24"/>
        </w:rPr>
      </w:pPr>
      <w:r>
        <w:rPr>
          <w:rFonts w:ascii="Calibri" w:hAnsi="Calibri" w:cs="Calibri"/>
          <w:sz w:val="24"/>
          <w:szCs w:val="24"/>
        </w:rPr>
        <w:t>The ACA team conducted two break-out sessions at the 2024 Annual Tribal Self-Governance Conference in Chandler, AZ</w:t>
      </w:r>
      <w:r w:rsidR="005334A3">
        <w:rPr>
          <w:rFonts w:ascii="Calibri" w:hAnsi="Calibri" w:cs="Calibri"/>
          <w:sz w:val="24"/>
          <w:szCs w:val="24"/>
        </w:rPr>
        <w:t>. The team discussed Medicaid unwinding and Tribal sponsorship.</w:t>
      </w:r>
      <w:r w:rsidR="00FD68A8">
        <w:rPr>
          <w:rFonts w:ascii="Calibri" w:hAnsi="Calibri" w:cs="Calibri"/>
          <w:sz w:val="24"/>
          <w:szCs w:val="24"/>
        </w:rPr>
        <w:t xml:space="preserve"> The team also </w:t>
      </w:r>
      <w:r w:rsidR="0057630C">
        <w:rPr>
          <w:rFonts w:ascii="Calibri" w:hAnsi="Calibri" w:cs="Calibri"/>
          <w:sz w:val="24"/>
          <w:szCs w:val="24"/>
        </w:rPr>
        <w:t>conducted</w:t>
      </w:r>
      <w:r w:rsidR="00FD68A8">
        <w:rPr>
          <w:rFonts w:ascii="Calibri" w:hAnsi="Calibri" w:cs="Calibri"/>
          <w:sz w:val="24"/>
          <w:szCs w:val="24"/>
        </w:rPr>
        <w:t xml:space="preserve"> a 2-day in-person ACA/IHCIA training session in Portland, OR.</w:t>
      </w:r>
      <w:r w:rsidR="0057630C">
        <w:rPr>
          <w:rFonts w:ascii="Calibri" w:hAnsi="Calibri" w:cs="Calibri"/>
          <w:sz w:val="24"/>
          <w:szCs w:val="24"/>
        </w:rPr>
        <w:t xml:space="preserve"> A total of 88 people representing 52 Tribes/Tribal organizations attended.</w:t>
      </w:r>
    </w:p>
    <w:p w14:paraId="131B21FE" w14:textId="77777777" w:rsidR="00AB2061" w:rsidRDefault="00AB2061" w:rsidP="0048526B">
      <w:pPr>
        <w:spacing w:after="0" w:line="240" w:lineRule="auto"/>
        <w:rPr>
          <w:rFonts w:ascii="Calibri" w:hAnsi="Calibri" w:cs="Calibri"/>
          <w:sz w:val="24"/>
          <w:szCs w:val="24"/>
        </w:rPr>
      </w:pPr>
    </w:p>
    <w:p w14:paraId="2BE01B4E" w14:textId="690B98E5" w:rsidR="00AB2061" w:rsidRDefault="00AB2061" w:rsidP="0048526B">
      <w:pPr>
        <w:spacing w:after="0" w:line="240" w:lineRule="auto"/>
        <w:rPr>
          <w:rFonts w:ascii="Calibri" w:hAnsi="Calibri" w:cs="Calibri"/>
          <w:sz w:val="24"/>
          <w:szCs w:val="24"/>
        </w:rPr>
      </w:pPr>
      <w:r>
        <w:rPr>
          <w:rFonts w:ascii="Calibri" w:hAnsi="Calibri" w:cs="Calibri"/>
          <w:sz w:val="24"/>
          <w:szCs w:val="24"/>
        </w:rPr>
        <w:t>The team plans to host another in-person ACA/IHCIA training in a different region.</w:t>
      </w:r>
      <w:r w:rsidR="00CA0AA5">
        <w:rPr>
          <w:rFonts w:ascii="Calibri" w:hAnsi="Calibri" w:cs="Calibri"/>
          <w:sz w:val="24"/>
          <w:szCs w:val="24"/>
        </w:rPr>
        <w:t xml:space="preserve"> They </w:t>
      </w:r>
      <w:r w:rsidR="007413A5">
        <w:rPr>
          <w:rFonts w:ascii="Calibri" w:hAnsi="Calibri" w:cs="Calibri"/>
          <w:sz w:val="24"/>
          <w:szCs w:val="24"/>
        </w:rPr>
        <w:t>are also</w:t>
      </w:r>
      <w:r w:rsidR="00CA0AA5">
        <w:rPr>
          <w:rFonts w:ascii="Calibri" w:hAnsi="Calibri" w:cs="Calibri"/>
          <w:sz w:val="24"/>
          <w:szCs w:val="24"/>
        </w:rPr>
        <w:t xml:space="preserve"> exploring a special project working with SGCETC </w:t>
      </w:r>
      <w:r w:rsidR="007413A5">
        <w:rPr>
          <w:rFonts w:ascii="Calibri" w:hAnsi="Calibri" w:cs="Calibri"/>
          <w:sz w:val="24"/>
          <w:szCs w:val="24"/>
        </w:rPr>
        <w:t>to develop</w:t>
      </w:r>
      <w:r w:rsidR="00CA0AA5">
        <w:rPr>
          <w:rFonts w:ascii="Calibri" w:hAnsi="Calibri" w:cs="Calibri"/>
          <w:sz w:val="24"/>
          <w:szCs w:val="24"/>
        </w:rPr>
        <w:t xml:space="preserve"> a segment on an ACA/IHCIA story. </w:t>
      </w:r>
      <w:r w:rsidR="00680A55">
        <w:rPr>
          <w:rFonts w:ascii="Calibri" w:hAnsi="Calibri" w:cs="Calibri"/>
          <w:sz w:val="24"/>
          <w:szCs w:val="24"/>
        </w:rPr>
        <w:t xml:space="preserve">They will continue to circulate the updated survey on Medicaid Unwinding to gather updated information </w:t>
      </w:r>
      <w:r w:rsidR="0037111D">
        <w:rPr>
          <w:rFonts w:ascii="Calibri" w:hAnsi="Calibri" w:cs="Calibri"/>
          <w:sz w:val="24"/>
          <w:szCs w:val="24"/>
        </w:rPr>
        <w:t>from</w:t>
      </w:r>
      <w:r w:rsidR="00680A55">
        <w:rPr>
          <w:rFonts w:ascii="Calibri" w:hAnsi="Calibri" w:cs="Calibri"/>
          <w:sz w:val="24"/>
          <w:szCs w:val="24"/>
        </w:rPr>
        <w:t xml:space="preserve"> Tribes. </w:t>
      </w:r>
      <w:r w:rsidR="00B643B6">
        <w:rPr>
          <w:rFonts w:ascii="Calibri" w:hAnsi="Calibri" w:cs="Calibri"/>
          <w:sz w:val="24"/>
          <w:szCs w:val="24"/>
        </w:rPr>
        <w:t xml:space="preserve">They plan to review the ACA/IHCIA Work Plan and host a webinar on a priority topic. </w:t>
      </w:r>
    </w:p>
    <w:p w14:paraId="3919C9BE" w14:textId="26A7C68B" w:rsidR="00AF6F3D" w:rsidRDefault="00AF6F3D" w:rsidP="0048526B">
      <w:pPr>
        <w:spacing w:after="0" w:line="240" w:lineRule="auto"/>
        <w:rPr>
          <w:rFonts w:ascii="Calibri" w:hAnsi="Calibri" w:cs="Calibri"/>
          <w:sz w:val="24"/>
          <w:szCs w:val="24"/>
        </w:rPr>
      </w:pPr>
    </w:p>
    <w:p w14:paraId="5B00242C" w14:textId="00E8D9C3" w:rsidR="00AF6F3D" w:rsidRPr="000D6208" w:rsidRDefault="00AF6F3D" w:rsidP="0048526B">
      <w:pPr>
        <w:spacing w:after="0" w:line="240" w:lineRule="auto"/>
        <w:rPr>
          <w:rFonts w:ascii="Calibri" w:hAnsi="Calibri" w:cs="Calibri"/>
          <w:sz w:val="24"/>
          <w:szCs w:val="24"/>
        </w:rPr>
      </w:pPr>
      <w:r>
        <w:rPr>
          <w:rFonts w:ascii="Calibri" w:hAnsi="Calibri" w:cs="Calibri"/>
          <w:sz w:val="24"/>
          <w:szCs w:val="24"/>
        </w:rPr>
        <w:t xml:space="preserve">You can request additional information </w:t>
      </w:r>
      <w:r w:rsidR="00701762">
        <w:rPr>
          <w:rFonts w:ascii="Calibri" w:hAnsi="Calibri" w:cs="Calibri"/>
          <w:sz w:val="24"/>
          <w:szCs w:val="24"/>
        </w:rPr>
        <w:t xml:space="preserve">from </w:t>
      </w:r>
      <w:hyperlink r:id="rId9" w:history="1">
        <w:r w:rsidR="00701762" w:rsidRPr="000C7CB8">
          <w:rPr>
            <w:rStyle w:val="Hyperlink"/>
            <w:rFonts w:ascii="Calibri" w:hAnsi="Calibri" w:cs="Calibri"/>
            <w:sz w:val="24"/>
            <w:szCs w:val="24"/>
          </w:rPr>
          <w:t>cyndif@senseinc.com</w:t>
        </w:r>
      </w:hyperlink>
      <w:r w:rsidR="00701762">
        <w:rPr>
          <w:rFonts w:ascii="Calibri" w:hAnsi="Calibri" w:cs="Calibri"/>
          <w:sz w:val="24"/>
          <w:szCs w:val="24"/>
        </w:rPr>
        <w:t xml:space="preserve">. </w:t>
      </w:r>
    </w:p>
    <w:p w14:paraId="2958710A" w14:textId="77777777" w:rsidR="0082003A" w:rsidRDefault="0082003A" w:rsidP="0048526B">
      <w:pPr>
        <w:spacing w:after="0" w:line="240" w:lineRule="auto"/>
        <w:rPr>
          <w:rFonts w:ascii="Calibri" w:hAnsi="Calibri" w:cs="Calibri"/>
          <w:b/>
          <w:bCs/>
          <w:sz w:val="24"/>
          <w:szCs w:val="24"/>
          <w:u w:val="single"/>
        </w:rPr>
      </w:pPr>
    </w:p>
    <w:p w14:paraId="758E42D3" w14:textId="14D4233C" w:rsidR="0048526B" w:rsidRDefault="0048526B" w:rsidP="0048526B">
      <w:pPr>
        <w:spacing w:after="0" w:line="240" w:lineRule="auto"/>
        <w:rPr>
          <w:rFonts w:ascii="Calibri" w:hAnsi="Calibri" w:cs="Calibri"/>
          <w:b/>
          <w:bCs/>
          <w:sz w:val="24"/>
          <w:szCs w:val="24"/>
          <w:u w:val="single"/>
        </w:rPr>
      </w:pPr>
      <w:r w:rsidRPr="000652F1">
        <w:rPr>
          <w:rFonts w:ascii="Calibri" w:hAnsi="Calibri" w:cs="Calibri"/>
          <w:b/>
          <w:bCs/>
          <w:sz w:val="24"/>
          <w:szCs w:val="24"/>
          <w:u w:val="single"/>
        </w:rPr>
        <w:t>Implementation of Executive Order 14112</w:t>
      </w:r>
    </w:p>
    <w:p w14:paraId="50BCD2FC" w14:textId="0E524FD0" w:rsidR="0048526B" w:rsidRDefault="00D93480" w:rsidP="0048526B">
      <w:pPr>
        <w:spacing w:after="0" w:line="240" w:lineRule="auto"/>
        <w:rPr>
          <w:rFonts w:ascii="Calibri" w:hAnsi="Calibri" w:cs="Calibri"/>
          <w:i/>
          <w:iCs/>
          <w:sz w:val="24"/>
          <w:szCs w:val="24"/>
        </w:rPr>
      </w:pPr>
      <w:r w:rsidRPr="00D93480">
        <w:rPr>
          <w:rFonts w:ascii="Calibri" w:hAnsi="Calibri" w:cs="Calibri"/>
          <w:i/>
          <w:iCs/>
          <w:sz w:val="24"/>
          <w:szCs w:val="24"/>
        </w:rPr>
        <w:t>Devin Delrow, Principal Advisor for Tribal Affairs, Department of Health and Human Services</w:t>
      </w:r>
    </w:p>
    <w:p w14:paraId="7B2D3D1B" w14:textId="77777777" w:rsidR="00D93480" w:rsidRDefault="00D93480" w:rsidP="0048526B">
      <w:pPr>
        <w:spacing w:after="0" w:line="240" w:lineRule="auto"/>
        <w:rPr>
          <w:rFonts w:ascii="Calibri" w:hAnsi="Calibri" w:cs="Calibri"/>
          <w:i/>
          <w:iCs/>
          <w:sz w:val="24"/>
          <w:szCs w:val="24"/>
        </w:rPr>
      </w:pPr>
    </w:p>
    <w:p w14:paraId="03576AEC" w14:textId="77777777" w:rsidR="002571C7" w:rsidRDefault="007700A6" w:rsidP="0048526B">
      <w:pPr>
        <w:spacing w:after="0" w:line="240" w:lineRule="auto"/>
        <w:rPr>
          <w:rFonts w:ascii="Calibri" w:hAnsi="Calibri" w:cs="Calibri"/>
          <w:sz w:val="24"/>
          <w:szCs w:val="24"/>
        </w:rPr>
      </w:pPr>
      <w:r>
        <w:rPr>
          <w:rFonts w:ascii="Calibri" w:hAnsi="Calibri" w:cs="Calibri"/>
          <w:sz w:val="24"/>
          <w:szCs w:val="24"/>
        </w:rPr>
        <w:t xml:space="preserve">The Office of Intergovernmental </w:t>
      </w:r>
      <w:r w:rsidR="007D6403">
        <w:rPr>
          <w:rFonts w:ascii="Calibri" w:hAnsi="Calibri" w:cs="Calibri"/>
          <w:sz w:val="24"/>
          <w:szCs w:val="24"/>
        </w:rPr>
        <w:t xml:space="preserve">and External Affairs </w:t>
      </w:r>
      <w:r w:rsidR="0007648C">
        <w:rPr>
          <w:rFonts w:ascii="Calibri" w:hAnsi="Calibri" w:cs="Calibri"/>
          <w:sz w:val="24"/>
          <w:szCs w:val="24"/>
        </w:rPr>
        <w:t>(IEA)</w:t>
      </w:r>
      <w:r w:rsidR="007B3839">
        <w:rPr>
          <w:rFonts w:ascii="Calibri" w:hAnsi="Calibri" w:cs="Calibri"/>
          <w:sz w:val="24"/>
          <w:szCs w:val="24"/>
        </w:rPr>
        <w:t xml:space="preserve">, along with the HHS Assistant Secretary of Financial Resources, is leading the </w:t>
      </w:r>
      <w:r w:rsidR="0007648C">
        <w:rPr>
          <w:rFonts w:ascii="Calibri" w:hAnsi="Calibri" w:cs="Calibri"/>
          <w:sz w:val="24"/>
          <w:szCs w:val="24"/>
        </w:rPr>
        <w:t xml:space="preserve">implementation of EO 14112 at the HHS. </w:t>
      </w:r>
      <w:r w:rsidR="007B3839">
        <w:rPr>
          <w:rFonts w:ascii="Calibri" w:hAnsi="Calibri" w:cs="Calibri"/>
          <w:sz w:val="24"/>
          <w:szCs w:val="24"/>
        </w:rPr>
        <w:t xml:space="preserve">They have established an internal HHS workgroup. </w:t>
      </w:r>
      <w:r w:rsidR="00556081">
        <w:rPr>
          <w:rFonts w:ascii="Calibri" w:hAnsi="Calibri" w:cs="Calibri"/>
          <w:sz w:val="24"/>
          <w:szCs w:val="24"/>
        </w:rPr>
        <w:t>They are focusing on Section 5 of the EO</w:t>
      </w:r>
      <w:r w:rsidR="00385C5F">
        <w:rPr>
          <w:rFonts w:ascii="Calibri" w:hAnsi="Calibri" w:cs="Calibri"/>
          <w:sz w:val="24"/>
          <w:szCs w:val="24"/>
        </w:rPr>
        <w:t xml:space="preserve"> and searching for funding </w:t>
      </w:r>
      <w:r w:rsidR="005B0E42">
        <w:rPr>
          <w:rFonts w:ascii="Calibri" w:hAnsi="Calibri" w:cs="Calibri"/>
          <w:sz w:val="24"/>
          <w:szCs w:val="24"/>
        </w:rPr>
        <w:t>flexibility</w:t>
      </w:r>
      <w:r w:rsidR="0023635E">
        <w:rPr>
          <w:rFonts w:ascii="Calibri" w:hAnsi="Calibri" w:cs="Calibri"/>
          <w:sz w:val="24"/>
          <w:szCs w:val="24"/>
        </w:rPr>
        <w:t xml:space="preserve">, </w:t>
      </w:r>
      <w:r w:rsidR="002571C7">
        <w:rPr>
          <w:rFonts w:ascii="Calibri" w:hAnsi="Calibri" w:cs="Calibri"/>
          <w:sz w:val="24"/>
          <w:szCs w:val="24"/>
        </w:rPr>
        <w:t>streamlined opportunities, access to funding opportunities, and reduced</w:t>
      </w:r>
      <w:r w:rsidR="0023635E">
        <w:rPr>
          <w:rFonts w:ascii="Calibri" w:hAnsi="Calibri" w:cs="Calibri"/>
          <w:sz w:val="24"/>
          <w:szCs w:val="24"/>
        </w:rPr>
        <w:t xml:space="preserve"> reporting burdens. </w:t>
      </w:r>
    </w:p>
    <w:p w14:paraId="5F0BF83C" w14:textId="77777777" w:rsidR="002571C7" w:rsidRDefault="002571C7" w:rsidP="0048526B">
      <w:pPr>
        <w:spacing w:after="0" w:line="240" w:lineRule="auto"/>
        <w:rPr>
          <w:rFonts w:ascii="Calibri" w:hAnsi="Calibri" w:cs="Calibri"/>
          <w:sz w:val="24"/>
          <w:szCs w:val="24"/>
        </w:rPr>
      </w:pPr>
    </w:p>
    <w:p w14:paraId="5C4D5B73" w14:textId="7BDA84E4" w:rsidR="00A24C80" w:rsidRPr="00D93480" w:rsidRDefault="00121880" w:rsidP="0048526B">
      <w:pPr>
        <w:spacing w:after="0" w:line="240" w:lineRule="auto"/>
        <w:rPr>
          <w:rFonts w:ascii="Calibri" w:hAnsi="Calibri" w:cs="Calibri"/>
          <w:sz w:val="24"/>
          <w:szCs w:val="24"/>
        </w:rPr>
      </w:pPr>
      <w:r>
        <w:rPr>
          <w:rFonts w:ascii="Calibri" w:hAnsi="Calibri" w:cs="Calibri"/>
          <w:sz w:val="24"/>
          <w:szCs w:val="24"/>
        </w:rPr>
        <w:t xml:space="preserve">They plan to conduct further Tribal engagement regarding the EO </w:t>
      </w:r>
      <w:r w:rsidR="00674304">
        <w:rPr>
          <w:rFonts w:ascii="Calibri" w:hAnsi="Calibri" w:cs="Calibri"/>
          <w:sz w:val="24"/>
          <w:szCs w:val="24"/>
        </w:rPr>
        <w:t xml:space="preserve">at each of the ongoing regional Tribal consultations. </w:t>
      </w:r>
      <w:r w:rsidR="005B0E42">
        <w:rPr>
          <w:rFonts w:ascii="Calibri" w:hAnsi="Calibri" w:cs="Calibri"/>
          <w:sz w:val="24"/>
          <w:szCs w:val="24"/>
        </w:rPr>
        <w:t xml:space="preserve">They are creating a fact sheet for presentation at the </w:t>
      </w:r>
      <w:r w:rsidR="002571C7">
        <w:rPr>
          <w:rFonts w:ascii="Calibri" w:hAnsi="Calibri" w:cs="Calibri"/>
          <w:sz w:val="24"/>
          <w:szCs w:val="24"/>
        </w:rPr>
        <w:t>September STAC meeting. They have</w:t>
      </w:r>
      <w:r w:rsidR="00125901">
        <w:rPr>
          <w:rFonts w:ascii="Calibri" w:hAnsi="Calibri" w:cs="Calibri"/>
          <w:sz w:val="24"/>
          <w:szCs w:val="24"/>
        </w:rPr>
        <w:t xml:space="preserve"> worked on a cross-government pilot to reduce reporting burden and improve customer </w:t>
      </w:r>
      <w:r w:rsidR="00F11D55">
        <w:rPr>
          <w:rFonts w:ascii="Calibri" w:hAnsi="Calibri" w:cs="Calibri"/>
          <w:sz w:val="24"/>
          <w:szCs w:val="24"/>
        </w:rPr>
        <w:t xml:space="preserve">experience. </w:t>
      </w:r>
      <w:r w:rsidR="00252A9D">
        <w:rPr>
          <w:rFonts w:ascii="Calibri" w:hAnsi="Calibri" w:cs="Calibri"/>
          <w:sz w:val="24"/>
          <w:szCs w:val="24"/>
        </w:rPr>
        <w:t>The pilot project released its final report</w:t>
      </w:r>
      <w:r w:rsidR="00AC422A">
        <w:rPr>
          <w:rFonts w:ascii="Calibri" w:hAnsi="Calibri" w:cs="Calibri"/>
          <w:sz w:val="24"/>
          <w:szCs w:val="24"/>
        </w:rPr>
        <w:t xml:space="preserve">, </w:t>
      </w:r>
      <w:r w:rsidR="00BF7D19">
        <w:rPr>
          <w:rFonts w:ascii="Calibri" w:hAnsi="Calibri" w:cs="Calibri"/>
          <w:sz w:val="24"/>
          <w:szCs w:val="24"/>
        </w:rPr>
        <w:t>which</w:t>
      </w:r>
      <w:r w:rsidR="00AC422A">
        <w:rPr>
          <w:rFonts w:ascii="Calibri" w:hAnsi="Calibri" w:cs="Calibri"/>
          <w:sz w:val="24"/>
          <w:szCs w:val="24"/>
        </w:rPr>
        <w:t xml:space="preserve"> is available at </w:t>
      </w:r>
      <w:hyperlink r:id="rId10" w:history="1">
        <w:r w:rsidR="00AC422A" w:rsidRPr="000C7CB8">
          <w:rPr>
            <w:rStyle w:val="Hyperlink"/>
            <w:rFonts w:ascii="Calibri" w:hAnsi="Calibri" w:cs="Calibri"/>
            <w:sz w:val="24"/>
            <w:szCs w:val="24"/>
          </w:rPr>
          <w:t>https://www.hhs.gov/about/agencies/asfr/grants-quality-service-management-office/index.html</w:t>
        </w:r>
      </w:hyperlink>
      <w:r w:rsidR="00AC422A">
        <w:rPr>
          <w:rFonts w:ascii="Calibri" w:hAnsi="Calibri" w:cs="Calibri"/>
          <w:sz w:val="24"/>
          <w:szCs w:val="24"/>
        </w:rPr>
        <w:t xml:space="preserve">. </w:t>
      </w:r>
    </w:p>
    <w:p w14:paraId="76F6EC41" w14:textId="77777777" w:rsidR="0048526B" w:rsidRDefault="0048526B" w:rsidP="0048526B">
      <w:pPr>
        <w:spacing w:after="0" w:line="240" w:lineRule="auto"/>
        <w:rPr>
          <w:rFonts w:ascii="Calibri" w:hAnsi="Calibri" w:cs="Calibri"/>
          <w:b/>
          <w:bCs/>
          <w:sz w:val="24"/>
          <w:szCs w:val="24"/>
          <w:u w:val="single"/>
        </w:rPr>
      </w:pPr>
    </w:p>
    <w:p w14:paraId="1A000445" w14:textId="2B41E6BE" w:rsidR="0048526B" w:rsidRPr="00647B93" w:rsidRDefault="00B231F4" w:rsidP="0048526B">
      <w:pPr>
        <w:spacing w:after="0" w:line="240" w:lineRule="auto"/>
        <w:rPr>
          <w:rFonts w:ascii="Calibri" w:hAnsi="Calibri" w:cs="Calibri"/>
          <w:b/>
          <w:bCs/>
          <w:sz w:val="24"/>
          <w:szCs w:val="24"/>
        </w:rPr>
      </w:pPr>
      <w:r w:rsidRPr="00647B93">
        <w:rPr>
          <w:rFonts w:ascii="Calibri" w:hAnsi="Calibri" w:cs="Calibri"/>
          <w:b/>
          <w:bCs/>
          <w:sz w:val="24"/>
          <w:szCs w:val="24"/>
        </w:rPr>
        <w:t>Update and Discussion on Self-Governance Expansion for HHS Agencies</w:t>
      </w:r>
    </w:p>
    <w:p w14:paraId="5DECAE1E" w14:textId="77777777" w:rsidR="00B231F4" w:rsidRDefault="00B231F4" w:rsidP="0048526B">
      <w:pPr>
        <w:spacing w:after="0" w:line="240" w:lineRule="auto"/>
        <w:rPr>
          <w:rFonts w:ascii="Calibri" w:hAnsi="Calibri" w:cs="Calibri"/>
          <w:b/>
          <w:bCs/>
          <w:sz w:val="24"/>
          <w:szCs w:val="24"/>
          <w:u w:val="single"/>
        </w:rPr>
      </w:pPr>
    </w:p>
    <w:p w14:paraId="5115B73A" w14:textId="799AE3B3" w:rsidR="00B231F4" w:rsidRPr="00D41999" w:rsidRDefault="00BF7D19" w:rsidP="0048526B">
      <w:pPr>
        <w:spacing w:after="0" w:line="240" w:lineRule="auto"/>
        <w:rPr>
          <w:rFonts w:ascii="Calibri" w:hAnsi="Calibri" w:cs="Calibri"/>
          <w:sz w:val="24"/>
          <w:szCs w:val="24"/>
        </w:rPr>
      </w:pPr>
      <w:r>
        <w:rPr>
          <w:rFonts w:ascii="Calibri" w:hAnsi="Calibri" w:cs="Calibri"/>
          <w:sz w:val="24"/>
          <w:szCs w:val="24"/>
        </w:rPr>
        <w:t>Several STAC members met with the Secretary after the budget consultation</w:t>
      </w:r>
      <w:r w:rsidR="00EC718C">
        <w:rPr>
          <w:rFonts w:ascii="Calibri" w:hAnsi="Calibri" w:cs="Calibri"/>
          <w:sz w:val="24"/>
          <w:szCs w:val="24"/>
        </w:rPr>
        <w:t xml:space="preserve"> to discuss self-governance</w:t>
      </w:r>
      <w:r w:rsidR="00BF196D">
        <w:rPr>
          <w:rFonts w:ascii="Calibri" w:hAnsi="Calibri" w:cs="Calibri"/>
          <w:sz w:val="24"/>
          <w:szCs w:val="24"/>
        </w:rPr>
        <w:t>. It</w:t>
      </w:r>
      <w:r w:rsidR="00001054">
        <w:rPr>
          <w:rFonts w:ascii="Calibri" w:hAnsi="Calibri" w:cs="Calibri"/>
          <w:sz w:val="24"/>
          <w:szCs w:val="24"/>
        </w:rPr>
        <w:t xml:space="preserve"> </w:t>
      </w:r>
      <w:r w:rsidR="00BF196D">
        <w:rPr>
          <w:rFonts w:ascii="Calibri" w:hAnsi="Calibri" w:cs="Calibri"/>
          <w:sz w:val="24"/>
          <w:szCs w:val="24"/>
        </w:rPr>
        <w:t>requested</w:t>
      </w:r>
      <w:r w:rsidR="004C0D55">
        <w:rPr>
          <w:rFonts w:ascii="Calibri" w:hAnsi="Calibri" w:cs="Calibri"/>
          <w:sz w:val="24"/>
          <w:szCs w:val="24"/>
        </w:rPr>
        <w:t xml:space="preserve"> his support in standing up and engaging</w:t>
      </w:r>
      <w:r w:rsidR="00001054">
        <w:rPr>
          <w:rFonts w:ascii="Calibri" w:hAnsi="Calibri" w:cs="Calibri"/>
          <w:sz w:val="24"/>
          <w:szCs w:val="24"/>
        </w:rPr>
        <w:t xml:space="preserve"> </w:t>
      </w:r>
      <w:r w:rsidR="007413A5">
        <w:rPr>
          <w:rFonts w:ascii="Calibri" w:hAnsi="Calibri" w:cs="Calibri"/>
          <w:sz w:val="24"/>
          <w:szCs w:val="24"/>
        </w:rPr>
        <w:t>the</w:t>
      </w:r>
      <w:r w:rsidR="00001054">
        <w:rPr>
          <w:rFonts w:ascii="Calibri" w:hAnsi="Calibri" w:cs="Calibri"/>
          <w:sz w:val="24"/>
          <w:szCs w:val="24"/>
        </w:rPr>
        <w:t xml:space="preserve"> </w:t>
      </w:r>
      <w:r w:rsidR="004C0D55">
        <w:rPr>
          <w:rFonts w:ascii="Calibri" w:hAnsi="Calibri" w:cs="Calibri"/>
          <w:sz w:val="24"/>
          <w:szCs w:val="24"/>
        </w:rPr>
        <w:t xml:space="preserve">STAC subcommittee to focus on </w:t>
      </w:r>
      <w:r>
        <w:rPr>
          <w:rFonts w:ascii="Calibri" w:hAnsi="Calibri" w:cs="Calibri"/>
          <w:sz w:val="24"/>
          <w:szCs w:val="24"/>
        </w:rPr>
        <w:t>expanding</w:t>
      </w:r>
      <w:r w:rsidR="004C0D55">
        <w:rPr>
          <w:rFonts w:ascii="Calibri" w:hAnsi="Calibri" w:cs="Calibri"/>
          <w:sz w:val="24"/>
          <w:szCs w:val="24"/>
        </w:rPr>
        <w:t xml:space="preserve"> self-governance</w:t>
      </w:r>
      <w:r w:rsidR="00F7489F">
        <w:rPr>
          <w:rFonts w:ascii="Calibri" w:hAnsi="Calibri" w:cs="Calibri"/>
          <w:sz w:val="24"/>
          <w:szCs w:val="24"/>
        </w:rPr>
        <w:t xml:space="preserve"> at the HHS. The Secretary expressed his support for self-governance</w:t>
      </w:r>
      <w:r w:rsidR="00061612">
        <w:rPr>
          <w:rFonts w:ascii="Calibri" w:hAnsi="Calibri" w:cs="Calibri"/>
          <w:sz w:val="24"/>
          <w:szCs w:val="24"/>
        </w:rPr>
        <w:t xml:space="preserve">, but </w:t>
      </w:r>
      <w:r w:rsidR="00BF196D">
        <w:rPr>
          <w:rFonts w:ascii="Calibri" w:hAnsi="Calibri" w:cs="Calibri"/>
          <w:sz w:val="24"/>
          <w:szCs w:val="24"/>
        </w:rPr>
        <w:t>some significant details</w:t>
      </w:r>
      <w:r w:rsidR="00061612">
        <w:rPr>
          <w:rFonts w:ascii="Calibri" w:hAnsi="Calibri" w:cs="Calibri"/>
          <w:sz w:val="24"/>
          <w:szCs w:val="24"/>
        </w:rPr>
        <w:t xml:space="preserve"> need to be considered </w:t>
      </w:r>
      <w:r>
        <w:rPr>
          <w:rFonts w:ascii="Calibri" w:hAnsi="Calibri" w:cs="Calibri"/>
          <w:sz w:val="24"/>
          <w:szCs w:val="24"/>
        </w:rPr>
        <w:t>for</w:t>
      </w:r>
      <w:r w:rsidR="00061612">
        <w:rPr>
          <w:rFonts w:ascii="Calibri" w:hAnsi="Calibri" w:cs="Calibri"/>
          <w:sz w:val="24"/>
          <w:szCs w:val="24"/>
        </w:rPr>
        <w:t xml:space="preserve"> self-governance expansion. </w:t>
      </w:r>
    </w:p>
    <w:p w14:paraId="62023228" w14:textId="77777777" w:rsidR="00B231F4" w:rsidRDefault="00B231F4" w:rsidP="0048526B">
      <w:pPr>
        <w:spacing w:after="0" w:line="240" w:lineRule="auto"/>
        <w:rPr>
          <w:rFonts w:ascii="Calibri" w:hAnsi="Calibri" w:cs="Calibri"/>
          <w:b/>
          <w:bCs/>
          <w:sz w:val="24"/>
          <w:szCs w:val="24"/>
          <w:u w:val="single"/>
        </w:rPr>
      </w:pPr>
    </w:p>
    <w:p w14:paraId="2CD21F5A" w14:textId="33670D95" w:rsidR="0048526B" w:rsidRDefault="00DF1C61" w:rsidP="0048526B">
      <w:pPr>
        <w:spacing w:after="0" w:line="240" w:lineRule="auto"/>
        <w:rPr>
          <w:rFonts w:ascii="Calibri" w:hAnsi="Calibri" w:cs="Calibri"/>
          <w:sz w:val="24"/>
          <w:szCs w:val="24"/>
        </w:rPr>
      </w:pPr>
      <w:r w:rsidRPr="00DF1C61">
        <w:rPr>
          <w:rFonts w:ascii="Calibri" w:hAnsi="Calibri" w:cs="Calibri"/>
          <w:b/>
          <w:bCs/>
          <w:sz w:val="24"/>
          <w:szCs w:val="24"/>
        </w:rPr>
        <w:t xml:space="preserve">Tribal Representative Comment: </w:t>
      </w:r>
      <w:r w:rsidR="00304122" w:rsidRPr="001E591F">
        <w:rPr>
          <w:rFonts w:ascii="Calibri" w:hAnsi="Calibri" w:cs="Calibri"/>
          <w:sz w:val="24"/>
          <w:szCs w:val="24"/>
        </w:rPr>
        <w:t>It was a great idea to form sub-workgroups</w:t>
      </w:r>
      <w:r w:rsidR="00304122">
        <w:rPr>
          <w:rFonts w:ascii="Calibri" w:hAnsi="Calibri" w:cs="Calibri"/>
          <w:b/>
          <w:bCs/>
          <w:sz w:val="24"/>
          <w:szCs w:val="24"/>
        </w:rPr>
        <w:t xml:space="preserve"> </w:t>
      </w:r>
      <w:r w:rsidR="001E591F" w:rsidRPr="001E591F">
        <w:rPr>
          <w:rFonts w:ascii="Calibri" w:hAnsi="Calibri" w:cs="Calibri"/>
          <w:sz w:val="24"/>
          <w:szCs w:val="24"/>
        </w:rPr>
        <w:t>because they get to dig into the technical details</w:t>
      </w:r>
      <w:r w:rsidR="00BF3DAD">
        <w:rPr>
          <w:rFonts w:ascii="Calibri" w:hAnsi="Calibri" w:cs="Calibri"/>
          <w:sz w:val="24"/>
          <w:szCs w:val="24"/>
        </w:rPr>
        <w:t xml:space="preserve">. </w:t>
      </w:r>
      <w:r w:rsidR="00ED3EC9">
        <w:rPr>
          <w:rFonts w:ascii="Calibri" w:hAnsi="Calibri" w:cs="Calibri"/>
          <w:sz w:val="24"/>
          <w:szCs w:val="24"/>
        </w:rPr>
        <w:t xml:space="preserve">I </w:t>
      </w:r>
      <w:r w:rsidR="00BF196D">
        <w:rPr>
          <w:rFonts w:ascii="Calibri" w:hAnsi="Calibri" w:cs="Calibri"/>
          <w:sz w:val="24"/>
          <w:szCs w:val="24"/>
        </w:rPr>
        <w:t>understand the initial approach to</w:t>
      </w:r>
      <w:r w:rsidR="00012C6B">
        <w:rPr>
          <w:rFonts w:ascii="Calibri" w:hAnsi="Calibri" w:cs="Calibri"/>
          <w:sz w:val="24"/>
          <w:szCs w:val="24"/>
        </w:rPr>
        <w:t xml:space="preserve"> taking </w:t>
      </w:r>
      <w:r w:rsidR="00973EE5">
        <w:rPr>
          <w:rFonts w:ascii="Calibri" w:hAnsi="Calibri" w:cs="Calibri"/>
          <w:sz w:val="24"/>
          <w:szCs w:val="24"/>
        </w:rPr>
        <w:t xml:space="preserve">the </w:t>
      </w:r>
      <w:r w:rsidR="00012C6B">
        <w:rPr>
          <w:rFonts w:ascii="Calibri" w:hAnsi="Calibri" w:cs="Calibri"/>
          <w:sz w:val="24"/>
          <w:szCs w:val="24"/>
        </w:rPr>
        <w:t>LIHEAP case study example</w:t>
      </w:r>
      <w:r w:rsidR="00ED3EC9">
        <w:rPr>
          <w:rFonts w:ascii="Calibri" w:hAnsi="Calibri" w:cs="Calibri"/>
          <w:sz w:val="24"/>
          <w:szCs w:val="24"/>
        </w:rPr>
        <w:t xml:space="preserve">. The questions that we received </w:t>
      </w:r>
      <w:r w:rsidR="00DB1BDD">
        <w:rPr>
          <w:rFonts w:ascii="Calibri" w:hAnsi="Calibri" w:cs="Calibri"/>
          <w:sz w:val="24"/>
          <w:szCs w:val="24"/>
        </w:rPr>
        <w:t>made sense from the agency</w:t>
      </w:r>
      <w:r w:rsidR="00CF593D">
        <w:rPr>
          <w:rFonts w:ascii="Calibri" w:hAnsi="Calibri" w:cs="Calibri"/>
          <w:sz w:val="24"/>
          <w:szCs w:val="24"/>
        </w:rPr>
        <w:t>'</w:t>
      </w:r>
      <w:r w:rsidR="00DB1BDD">
        <w:rPr>
          <w:rFonts w:ascii="Calibri" w:hAnsi="Calibri" w:cs="Calibri"/>
          <w:sz w:val="24"/>
          <w:szCs w:val="24"/>
        </w:rPr>
        <w:t xml:space="preserve">s perspective. However, it also demonstrated a lack of understanding </w:t>
      </w:r>
      <w:r w:rsidR="00974558">
        <w:rPr>
          <w:rFonts w:ascii="Calibri" w:hAnsi="Calibri" w:cs="Calibri"/>
          <w:sz w:val="24"/>
          <w:szCs w:val="24"/>
        </w:rPr>
        <w:t>of self-governance and th</w:t>
      </w:r>
      <w:r w:rsidR="00BF196D">
        <w:rPr>
          <w:rFonts w:ascii="Calibri" w:hAnsi="Calibri" w:cs="Calibri"/>
          <w:sz w:val="24"/>
          <w:szCs w:val="24"/>
        </w:rPr>
        <w:t>at this is a demonstration project with a limited five-year time of the legislation</w:t>
      </w:r>
      <w:r w:rsidR="00072C04">
        <w:rPr>
          <w:rFonts w:ascii="Calibri" w:hAnsi="Calibri" w:cs="Calibri"/>
          <w:sz w:val="24"/>
          <w:szCs w:val="24"/>
        </w:rPr>
        <w:t xml:space="preserve"> being introduced</w:t>
      </w:r>
      <w:r w:rsidR="00F725FA">
        <w:rPr>
          <w:rFonts w:ascii="Calibri" w:hAnsi="Calibri" w:cs="Calibri"/>
          <w:sz w:val="24"/>
          <w:szCs w:val="24"/>
        </w:rPr>
        <w:t xml:space="preserve"> to figure out all the details. There seems to still be a push from HHS that </w:t>
      </w:r>
      <w:r w:rsidR="00D06D7D">
        <w:rPr>
          <w:rFonts w:ascii="Calibri" w:hAnsi="Calibri" w:cs="Calibri"/>
          <w:sz w:val="24"/>
          <w:szCs w:val="24"/>
        </w:rPr>
        <w:t xml:space="preserve">we need to know the answers to how this </w:t>
      </w:r>
      <w:r w:rsidR="00BF196D">
        <w:rPr>
          <w:rFonts w:ascii="Calibri" w:hAnsi="Calibri" w:cs="Calibri"/>
          <w:sz w:val="24"/>
          <w:szCs w:val="24"/>
        </w:rPr>
        <w:t>will</w:t>
      </w:r>
      <w:r w:rsidR="00D06D7D">
        <w:rPr>
          <w:rFonts w:ascii="Calibri" w:hAnsi="Calibri" w:cs="Calibri"/>
          <w:sz w:val="24"/>
          <w:szCs w:val="24"/>
        </w:rPr>
        <w:t xml:space="preserve"> look exactly from day one – even though </w:t>
      </w:r>
      <w:r w:rsidR="007413A5">
        <w:rPr>
          <w:rFonts w:ascii="Calibri" w:hAnsi="Calibri" w:cs="Calibri"/>
          <w:sz w:val="24"/>
          <w:szCs w:val="24"/>
        </w:rPr>
        <w:t>it's</w:t>
      </w:r>
      <w:r w:rsidR="00D06D7D">
        <w:rPr>
          <w:rFonts w:ascii="Calibri" w:hAnsi="Calibri" w:cs="Calibri"/>
          <w:sz w:val="24"/>
          <w:szCs w:val="24"/>
        </w:rPr>
        <w:t xml:space="preserve"> intended to be a demonstration project</w:t>
      </w:r>
      <w:r w:rsidR="006A3F7B">
        <w:rPr>
          <w:rFonts w:ascii="Calibri" w:hAnsi="Calibri" w:cs="Calibri"/>
          <w:sz w:val="24"/>
          <w:szCs w:val="24"/>
        </w:rPr>
        <w:t xml:space="preserve">.  </w:t>
      </w:r>
    </w:p>
    <w:p w14:paraId="43D6564E" w14:textId="77777777" w:rsidR="006A3F7B" w:rsidRDefault="006A3F7B" w:rsidP="0048526B">
      <w:pPr>
        <w:spacing w:after="0" w:line="240" w:lineRule="auto"/>
        <w:rPr>
          <w:rFonts w:ascii="Calibri" w:hAnsi="Calibri" w:cs="Calibri"/>
          <w:b/>
          <w:bCs/>
          <w:sz w:val="24"/>
          <w:szCs w:val="24"/>
        </w:rPr>
      </w:pPr>
    </w:p>
    <w:p w14:paraId="42FC0F9D" w14:textId="27D42535" w:rsidR="006A3F7B" w:rsidRPr="006A3F7B" w:rsidRDefault="006A3F7B" w:rsidP="0048526B">
      <w:pPr>
        <w:spacing w:after="0" w:line="240" w:lineRule="auto"/>
        <w:rPr>
          <w:rFonts w:ascii="Calibri" w:hAnsi="Calibri" w:cs="Calibri"/>
          <w:sz w:val="24"/>
          <w:szCs w:val="24"/>
        </w:rPr>
      </w:pPr>
      <w:r w:rsidRPr="006A3F7B">
        <w:rPr>
          <w:rFonts w:ascii="Calibri" w:hAnsi="Calibri" w:cs="Calibri"/>
          <w:sz w:val="24"/>
          <w:szCs w:val="24"/>
        </w:rPr>
        <w:t xml:space="preserve">I would love to see OTSG more involved </w:t>
      </w:r>
      <w:r w:rsidR="003144BF">
        <w:rPr>
          <w:rFonts w:ascii="Calibri" w:hAnsi="Calibri" w:cs="Calibri"/>
          <w:sz w:val="24"/>
          <w:szCs w:val="24"/>
        </w:rPr>
        <w:t xml:space="preserve">in some of the meetings because they </w:t>
      </w:r>
      <w:r w:rsidR="00A45C11">
        <w:rPr>
          <w:rFonts w:ascii="Calibri" w:hAnsi="Calibri" w:cs="Calibri"/>
          <w:sz w:val="24"/>
          <w:szCs w:val="24"/>
        </w:rPr>
        <w:t xml:space="preserve">possess the memory and </w:t>
      </w:r>
      <w:r w:rsidR="00BF196D">
        <w:rPr>
          <w:rFonts w:ascii="Calibri" w:hAnsi="Calibri" w:cs="Calibri"/>
          <w:sz w:val="24"/>
          <w:szCs w:val="24"/>
        </w:rPr>
        <w:t>knowledge to participate in a demonstration project and</w:t>
      </w:r>
      <w:r w:rsidR="00A45C11">
        <w:rPr>
          <w:rFonts w:ascii="Calibri" w:hAnsi="Calibri" w:cs="Calibri"/>
          <w:sz w:val="24"/>
          <w:szCs w:val="24"/>
        </w:rPr>
        <w:t xml:space="preserve"> can help explain what that means. </w:t>
      </w:r>
      <w:r w:rsidR="007F0A49">
        <w:rPr>
          <w:rFonts w:ascii="Calibri" w:hAnsi="Calibri" w:cs="Calibri"/>
          <w:sz w:val="24"/>
          <w:szCs w:val="24"/>
        </w:rPr>
        <w:t xml:space="preserve">On our reporting call, </w:t>
      </w:r>
      <w:r w:rsidR="00E24B68">
        <w:rPr>
          <w:rFonts w:ascii="Calibri" w:hAnsi="Calibri" w:cs="Calibri"/>
          <w:sz w:val="24"/>
          <w:szCs w:val="24"/>
        </w:rPr>
        <w:t xml:space="preserve">there were a lot of questions regarding LIHEAP reports. We already know that the agency </w:t>
      </w:r>
      <w:r w:rsidR="0062540B">
        <w:rPr>
          <w:rFonts w:ascii="Calibri" w:hAnsi="Calibri" w:cs="Calibri"/>
          <w:sz w:val="24"/>
          <w:szCs w:val="24"/>
        </w:rPr>
        <w:t xml:space="preserve">is addressing this through 477. </w:t>
      </w:r>
      <w:r w:rsidR="007413A5">
        <w:rPr>
          <w:rFonts w:ascii="Calibri" w:hAnsi="Calibri" w:cs="Calibri"/>
          <w:sz w:val="24"/>
          <w:szCs w:val="24"/>
        </w:rPr>
        <w:t>More education regarding the Single Audit Act also needs to be provided</w:t>
      </w:r>
      <w:r w:rsidR="00BE5E2D">
        <w:rPr>
          <w:rFonts w:ascii="Calibri" w:hAnsi="Calibri" w:cs="Calibri"/>
          <w:sz w:val="24"/>
          <w:szCs w:val="24"/>
        </w:rPr>
        <w:t xml:space="preserve">. </w:t>
      </w:r>
    </w:p>
    <w:p w14:paraId="7205A3A1" w14:textId="20A5A1E3" w:rsidR="001E591F" w:rsidRPr="00DF1C61" w:rsidRDefault="007F0A49" w:rsidP="007413A5">
      <w:pPr>
        <w:tabs>
          <w:tab w:val="left" w:pos="2170"/>
        </w:tabs>
        <w:spacing w:after="0" w:line="240" w:lineRule="auto"/>
        <w:rPr>
          <w:rFonts w:ascii="Calibri" w:hAnsi="Calibri" w:cs="Calibri"/>
          <w:b/>
          <w:bCs/>
          <w:sz w:val="24"/>
          <w:szCs w:val="24"/>
        </w:rPr>
      </w:pPr>
      <w:r>
        <w:rPr>
          <w:rFonts w:ascii="Calibri" w:hAnsi="Calibri" w:cs="Calibri"/>
          <w:b/>
          <w:bCs/>
          <w:sz w:val="24"/>
          <w:szCs w:val="24"/>
        </w:rPr>
        <w:tab/>
      </w:r>
    </w:p>
    <w:p w14:paraId="1409980A" w14:textId="496E54A7" w:rsidR="0048526B" w:rsidRDefault="0048526B" w:rsidP="0048526B">
      <w:pPr>
        <w:spacing w:after="0" w:line="240" w:lineRule="auto"/>
        <w:rPr>
          <w:rFonts w:ascii="Calibri" w:hAnsi="Calibri" w:cs="Calibri"/>
          <w:b/>
          <w:bCs/>
          <w:sz w:val="24"/>
          <w:szCs w:val="24"/>
          <w:u w:val="single"/>
        </w:rPr>
      </w:pPr>
      <w:r w:rsidRPr="00657F0E">
        <w:rPr>
          <w:rFonts w:ascii="Calibri" w:hAnsi="Calibri" w:cs="Calibri"/>
          <w:b/>
          <w:bCs/>
          <w:sz w:val="24"/>
          <w:szCs w:val="24"/>
          <w:u w:val="single"/>
        </w:rPr>
        <w:t xml:space="preserve">Wrap-Up Discussion with the IHS </w:t>
      </w:r>
      <w:r w:rsidR="00B231F4">
        <w:rPr>
          <w:rFonts w:ascii="Calibri" w:hAnsi="Calibri" w:cs="Calibri"/>
          <w:b/>
          <w:bCs/>
          <w:sz w:val="24"/>
          <w:szCs w:val="24"/>
          <w:u w:val="single"/>
        </w:rPr>
        <w:t>Leadership</w:t>
      </w:r>
    </w:p>
    <w:p w14:paraId="4F1A7107" w14:textId="703EFF90" w:rsidR="0048526B" w:rsidRDefault="00B231F4" w:rsidP="0048526B">
      <w:pPr>
        <w:spacing w:after="0" w:line="240" w:lineRule="auto"/>
        <w:rPr>
          <w:rFonts w:ascii="Calibri" w:hAnsi="Calibri" w:cs="Calibri"/>
          <w:i/>
          <w:iCs/>
          <w:sz w:val="24"/>
          <w:szCs w:val="24"/>
        </w:rPr>
      </w:pPr>
      <w:r>
        <w:rPr>
          <w:rFonts w:ascii="Calibri" w:hAnsi="Calibri" w:cs="Calibri"/>
          <w:i/>
          <w:iCs/>
          <w:sz w:val="24"/>
          <w:szCs w:val="24"/>
        </w:rPr>
        <w:t>Ben Smith</w:t>
      </w:r>
      <w:r w:rsidR="0048526B">
        <w:rPr>
          <w:rFonts w:ascii="Calibri" w:hAnsi="Calibri" w:cs="Calibri"/>
          <w:i/>
          <w:iCs/>
          <w:sz w:val="24"/>
          <w:szCs w:val="24"/>
        </w:rPr>
        <w:t>,</w:t>
      </w:r>
      <w:r w:rsidR="00A85122">
        <w:rPr>
          <w:rFonts w:ascii="Calibri" w:hAnsi="Calibri" w:cs="Calibri"/>
          <w:i/>
          <w:iCs/>
          <w:sz w:val="24"/>
          <w:szCs w:val="24"/>
        </w:rPr>
        <w:t xml:space="preserve"> Deputy</w:t>
      </w:r>
      <w:r w:rsidR="0048526B">
        <w:rPr>
          <w:rFonts w:ascii="Calibri" w:hAnsi="Calibri" w:cs="Calibri"/>
          <w:i/>
          <w:iCs/>
          <w:sz w:val="24"/>
          <w:szCs w:val="24"/>
        </w:rPr>
        <w:t xml:space="preserve"> Director, IHS </w:t>
      </w:r>
    </w:p>
    <w:p w14:paraId="446EF8A1" w14:textId="77777777" w:rsidR="0048526B" w:rsidRDefault="0048526B" w:rsidP="0048526B">
      <w:pPr>
        <w:spacing w:after="0" w:line="240" w:lineRule="auto"/>
        <w:rPr>
          <w:rFonts w:ascii="Calibri" w:hAnsi="Calibri" w:cs="Calibri"/>
          <w:i/>
          <w:iCs/>
          <w:sz w:val="24"/>
          <w:szCs w:val="24"/>
        </w:rPr>
      </w:pPr>
    </w:p>
    <w:p w14:paraId="22BEE8AB" w14:textId="3597D0A1" w:rsidR="009D1513" w:rsidRDefault="009D1513" w:rsidP="0048526B">
      <w:pPr>
        <w:spacing w:after="0" w:line="240" w:lineRule="auto"/>
        <w:rPr>
          <w:rFonts w:ascii="Calibri" w:hAnsi="Calibri" w:cs="Calibri"/>
          <w:b/>
          <w:bCs/>
          <w:sz w:val="24"/>
          <w:szCs w:val="24"/>
        </w:rPr>
      </w:pPr>
      <w:r w:rsidRPr="009D1513">
        <w:rPr>
          <w:rFonts w:ascii="Calibri" w:hAnsi="Calibri" w:cs="Calibri"/>
          <w:b/>
          <w:bCs/>
          <w:sz w:val="24"/>
          <w:szCs w:val="24"/>
        </w:rPr>
        <w:t xml:space="preserve">Priorities </w:t>
      </w:r>
    </w:p>
    <w:p w14:paraId="4DD98504" w14:textId="77777777" w:rsidR="009D1513" w:rsidRPr="009D1513" w:rsidRDefault="009D1513" w:rsidP="0048526B">
      <w:pPr>
        <w:spacing w:after="0" w:line="240" w:lineRule="auto"/>
        <w:rPr>
          <w:rFonts w:ascii="Calibri" w:hAnsi="Calibri" w:cs="Calibri"/>
          <w:b/>
          <w:bCs/>
          <w:sz w:val="24"/>
          <w:szCs w:val="24"/>
        </w:rPr>
      </w:pPr>
    </w:p>
    <w:p w14:paraId="01DC2FF5" w14:textId="7358AD8C" w:rsidR="00FB7C48" w:rsidRDefault="008E03ED" w:rsidP="001341E3">
      <w:pPr>
        <w:spacing w:after="0" w:line="240" w:lineRule="auto"/>
        <w:rPr>
          <w:rFonts w:ascii="Calibri" w:hAnsi="Calibri" w:cs="Calibri"/>
          <w:sz w:val="24"/>
          <w:szCs w:val="24"/>
        </w:rPr>
      </w:pPr>
      <w:r>
        <w:rPr>
          <w:rFonts w:ascii="Calibri" w:hAnsi="Calibri" w:cs="Calibri"/>
          <w:noProof/>
          <w:sz w:val="24"/>
          <w:szCs w:val="24"/>
        </w:rPr>
        <mc:AlternateContent>
          <mc:Choice Requires="aink">
            <w:drawing>
              <wp:anchor distT="0" distB="0" distL="114300" distR="114300" simplePos="0" relativeHeight="251663360" behindDoc="0" locked="0" layoutInCell="1" allowOverlap="1" wp14:anchorId="5D99B6ED" wp14:editId="1E5E5BC0">
                <wp:simplePos x="0" y="0"/>
                <wp:positionH relativeFrom="column">
                  <wp:posOffset>-2626750</wp:posOffset>
                </wp:positionH>
                <wp:positionV relativeFrom="paragraph">
                  <wp:posOffset>245265</wp:posOffset>
                </wp:positionV>
                <wp:extent cx="17280" cy="12960"/>
                <wp:effectExtent l="38100" t="38100" r="40005" b="44450"/>
                <wp:wrapNone/>
                <wp:docPr id="1990179608" name="Ink 22"/>
                <wp:cNvGraphicFramePr/>
                <a:graphic xmlns:a="http://schemas.openxmlformats.org/drawingml/2006/main">
                  <a:graphicData uri="http://schemas.microsoft.com/office/word/2010/wordprocessingInk">
                    <w14:contentPart bwMode="auto" r:id="rId11">
                      <w14:nvContentPartPr>
                        <w14:cNvContentPartPr/>
                      </w14:nvContentPartPr>
                      <w14:xfrm>
                        <a:off x="0" y="0"/>
                        <a:ext cx="17280" cy="12960"/>
                      </w14:xfrm>
                    </w14:contentPart>
                  </a:graphicData>
                </a:graphic>
              </wp:anchor>
            </w:drawing>
          </mc:Choice>
          <mc:Fallback>
            <w:drawing>
              <wp:anchor distT="0" distB="0" distL="114300" distR="114300" simplePos="0" relativeHeight="251663360" behindDoc="0" locked="0" layoutInCell="1" allowOverlap="1" wp14:anchorId="5D99B6ED" wp14:editId="1E5E5BC0">
                <wp:simplePos x="0" y="0"/>
                <wp:positionH relativeFrom="column">
                  <wp:posOffset>-2626750</wp:posOffset>
                </wp:positionH>
                <wp:positionV relativeFrom="paragraph">
                  <wp:posOffset>245265</wp:posOffset>
                </wp:positionV>
                <wp:extent cx="17280" cy="12960"/>
                <wp:effectExtent l="38100" t="38100" r="40005" b="44450"/>
                <wp:wrapNone/>
                <wp:docPr id="1990179608" name="Ink 22"/>
                <wp:cNvGraphicFramePr/>
                <a:graphic xmlns:a="http://schemas.openxmlformats.org/drawingml/2006/main">
                  <a:graphicData uri="http://schemas.openxmlformats.org/drawingml/2006/picture">
                    <pic:pic xmlns:pic="http://schemas.openxmlformats.org/drawingml/2006/picture">
                      <pic:nvPicPr>
                        <pic:cNvPr id="1990179608" name="Ink 22"/>
                        <pic:cNvPicPr/>
                      </pic:nvPicPr>
                      <pic:blipFill>
                        <a:blip r:embed="rId12"/>
                        <a:stretch>
                          <a:fillRect/>
                        </a:stretch>
                      </pic:blipFill>
                      <pic:spPr>
                        <a:xfrm>
                          <a:off x="0" y="0"/>
                          <a:ext cx="25920" cy="66600"/>
                        </a:xfrm>
                        <a:prstGeom prst="rect">
                          <a:avLst/>
                        </a:prstGeom>
                      </pic:spPr>
                    </pic:pic>
                  </a:graphicData>
                </a:graphic>
              </wp:anchor>
            </w:drawing>
          </mc:Fallback>
        </mc:AlternateContent>
      </w:r>
      <w:r>
        <w:rPr>
          <w:rFonts w:ascii="Calibri" w:hAnsi="Calibri" w:cs="Calibri"/>
          <w:noProof/>
          <w:sz w:val="24"/>
          <w:szCs w:val="24"/>
        </w:rPr>
        <mc:AlternateContent>
          <mc:Choice Requires="aink">
            <w:drawing>
              <wp:anchor distT="0" distB="0" distL="114300" distR="114300" simplePos="0" relativeHeight="251662336" behindDoc="0" locked="0" layoutInCell="1" allowOverlap="1" wp14:anchorId="6BB22161" wp14:editId="6FFC5144">
                <wp:simplePos x="0" y="0"/>
                <wp:positionH relativeFrom="column">
                  <wp:posOffset>-2627830</wp:posOffset>
                </wp:positionH>
                <wp:positionV relativeFrom="paragraph">
                  <wp:posOffset>293865</wp:posOffset>
                </wp:positionV>
                <wp:extent cx="360" cy="360"/>
                <wp:effectExtent l="0" t="0" r="0" b="0"/>
                <wp:wrapNone/>
                <wp:docPr id="585454995" name="Ink 2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6BB22161" wp14:editId="6FFC5144">
                <wp:simplePos x="0" y="0"/>
                <wp:positionH relativeFrom="column">
                  <wp:posOffset>-2627830</wp:posOffset>
                </wp:positionH>
                <wp:positionV relativeFrom="paragraph">
                  <wp:posOffset>293865</wp:posOffset>
                </wp:positionV>
                <wp:extent cx="360" cy="360"/>
                <wp:effectExtent l="0" t="0" r="0" b="0"/>
                <wp:wrapNone/>
                <wp:docPr id="585454995" name="Ink 21"/>
                <wp:cNvGraphicFramePr/>
                <a:graphic xmlns:a="http://schemas.openxmlformats.org/drawingml/2006/main">
                  <a:graphicData uri="http://schemas.openxmlformats.org/drawingml/2006/picture">
                    <pic:pic xmlns:pic="http://schemas.openxmlformats.org/drawingml/2006/picture">
                      <pic:nvPicPr>
                        <pic:cNvPr id="585454995" name="Ink 21"/>
                        <pic:cNvPicPr/>
                      </pic:nvPicPr>
                      <pic:blipFill>
                        <a:blip r:embed="rId14"/>
                        <a:stretch>
                          <a:fillRect/>
                        </a:stretch>
                      </pic:blipFill>
                      <pic:spPr>
                        <a:xfrm>
                          <a:off x="0" y="0"/>
                          <a:ext cx="9000" cy="54000"/>
                        </a:xfrm>
                        <a:prstGeom prst="rect">
                          <a:avLst/>
                        </a:prstGeom>
                      </pic:spPr>
                    </pic:pic>
                  </a:graphicData>
                </a:graphic>
              </wp:anchor>
            </w:drawing>
          </mc:Fallback>
        </mc:AlternateContent>
      </w:r>
      <w:r>
        <w:rPr>
          <w:rFonts w:ascii="Calibri" w:hAnsi="Calibri" w:cs="Calibri"/>
          <w:noProof/>
          <w:sz w:val="24"/>
          <w:szCs w:val="24"/>
        </w:rPr>
        <mc:AlternateContent>
          <mc:Choice Requires="aink">
            <w:drawing>
              <wp:anchor distT="0" distB="0" distL="114300" distR="114300" simplePos="0" relativeHeight="251659264" behindDoc="0" locked="0" layoutInCell="1" allowOverlap="1" wp14:anchorId="438186DB" wp14:editId="42EBEDD1">
                <wp:simplePos x="0" y="0"/>
                <wp:positionH relativeFrom="column">
                  <wp:posOffset>7529570</wp:posOffset>
                </wp:positionH>
                <wp:positionV relativeFrom="paragraph">
                  <wp:posOffset>-247935</wp:posOffset>
                </wp:positionV>
                <wp:extent cx="304920" cy="1364400"/>
                <wp:effectExtent l="38100" t="57150" r="38100" b="45720"/>
                <wp:wrapNone/>
                <wp:docPr id="1769834926" name="Ink 18"/>
                <wp:cNvGraphicFramePr/>
                <a:graphic xmlns:a="http://schemas.openxmlformats.org/drawingml/2006/main">
                  <a:graphicData uri="http://schemas.microsoft.com/office/word/2010/wordprocessingInk">
                    <w14:contentPart bwMode="auto" r:id="rId15">
                      <w14:nvContentPartPr>
                        <w14:cNvContentPartPr/>
                      </w14:nvContentPartPr>
                      <w14:xfrm>
                        <a:off x="0" y="0"/>
                        <a:ext cx="304920" cy="1364400"/>
                      </w14:xfrm>
                    </w14:contentPart>
                  </a:graphicData>
                </a:graphic>
              </wp:anchor>
            </w:drawing>
          </mc:Choice>
          <mc:Fallback>
            <w:drawing>
              <wp:anchor distT="0" distB="0" distL="114300" distR="114300" simplePos="0" relativeHeight="251659264" behindDoc="0" locked="0" layoutInCell="1" allowOverlap="1" wp14:anchorId="438186DB" wp14:editId="42EBEDD1">
                <wp:simplePos x="0" y="0"/>
                <wp:positionH relativeFrom="column">
                  <wp:posOffset>7529570</wp:posOffset>
                </wp:positionH>
                <wp:positionV relativeFrom="paragraph">
                  <wp:posOffset>-247935</wp:posOffset>
                </wp:positionV>
                <wp:extent cx="304920" cy="1364400"/>
                <wp:effectExtent l="38100" t="57150" r="38100" b="45720"/>
                <wp:wrapNone/>
                <wp:docPr id="1769834926" name="Ink 18"/>
                <wp:cNvGraphicFramePr/>
                <a:graphic xmlns:a="http://schemas.openxmlformats.org/drawingml/2006/main">
                  <a:graphicData uri="http://schemas.openxmlformats.org/drawingml/2006/picture">
                    <pic:pic xmlns:pic="http://schemas.openxmlformats.org/drawingml/2006/picture">
                      <pic:nvPicPr>
                        <pic:cNvPr id="1769834926" name="Ink 18"/>
                        <pic:cNvPicPr/>
                      </pic:nvPicPr>
                      <pic:blipFill>
                        <a:blip r:embed="rId16"/>
                        <a:stretch>
                          <a:fillRect/>
                        </a:stretch>
                      </pic:blipFill>
                      <pic:spPr>
                        <a:xfrm>
                          <a:off x="0" y="0"/>
                          <a:ext cx="313560" cy="1418040"/>
                        </a:xfrm>
                        <a:prstGeom prst="rect">
                          <a:avLst/>
                        </a:prstGeom>
                      </pic:spPr>
                    </pic:pic>
                  </a:graphicData>
                </a:graphic>
              </wp:anchor>
            </w:drawing>
          </mc:Fallback>
        </mc:AlternateContent>
      </w:r>
      <w:r w:rsidR="001C38FE">
        <w:rPr>
          <w:rFonts w:ascii="Calibri" w:hAnsi="Calibri" w:cs="Calibri"/>
          <w:sz w:val="24"/>
          <w:szCs w:val="24"/>
        </w:rPr>
        <w:t>The IHS</w:t>
      </w:r>
      <w:r w:rsidR="00CF593D">
        <w:rPr>
          <w:rFonts w:ascii="Calibri" w:hAnsi="Calibri" w:cs="Calibri"/>
          <w:sz w:val="24"/>
          <w:szCs w:val="24"/>
        </w:rPr>
        <w:t>'</w:t>
      </w:r>
      <w:r w:rsidR="001C38FE">
        <w:rPr>
          <w:rFonts w:ascii="Calibri" w:hAnsi="Calibri" w:cs="Calibri"/>
          <w:sz w:val="24"/>
          <w:szCs w:val="24"/>
        </w:rPr>
        <w:t xml:space="preserve"> top priorities </w:t>
      </w:r>
      <w:r w:rsidR="005A4C32">
        <w:rPr>
          <w:rFonts w:ascii="Calibri" w:hAnsi="Calibri" w:cs="Calibri"/>
          <w:sz w:val="24"/>
          <w:szCs w:val="24"/>
        </w:rPr>
        <w:t>remain</w:t>
      </w:r>
      <w:r w:rsidR="001C38FE">
        <w:rPr>
          <w:rFonts w:ascii="Calibri" w:hAnsi="Calibri" w:cs="Calibri"/>
          <w:sz w:val="24"/>
          <w:szCs w:val="24"/>
        </w:rPr>
        <w:t xml:space="preserve"> providing safe</w:t>
      </w:r>
      <w:r w:rsidR="0086265E">
        <w:rPr>
          <w:rFonts w:ascii="Calibri" w:hAnsi="Calibri" w:cs="Calibri"/>
          <w:sz w:val="24"/>
          <w:szCs w:val="24"/>
        </w:rPr>
        <w:t>,</w:t>
      </w:r>
      <w:r w:rsidR="001C38FE">
        <w:rPr>
          <w:rFonts w:ascii="Calibri" w:hAnsi="Calibri" w:cs="Calibri"/>
          <w:sz w:val="24"/>
          <w:szCs w:val="24"/>
        </w:rPr>
        <w:t xml:space="preserve"> </w:t>
      </w:r>
      <w:r w:rsidR="00411720">
        <w:rPr>
          <w:rFonts w:ascii="Calibri" w:hAnsi="Calibri" w:cs="Calibri"/>
          <w:sz w:val="24"/>
          <w:szCs w:val="24"/>
        </w:rPr>
        <w:t xml:space="preserve">quality care, putting the patients first, and </w:t>
      </w:r>
      <w:r w:rsidR="0086265E">
        <w:rPr>
          <w:rFonts w:ascii="Calibri" w:hAnsi="Calibri" w:cs="Calibri"/>
          <w:sz w:val="24"/>
          <w:szCs w:val="24"/>
        </w:rPr>
        <w:t>protecting</w:t>
      </w:r>
      <w:r w:rsidR="00411720">
        <w:rPr>
          <w:rFonts w:ascii="Calibri" w:hAnsi="Calibri" w:cs="Calibri"/>
          <w:sz w:val="24"/>
          <w:szCs w:val="24"/>
        </w:rPr>
        <w:t xml:space="preserve"> </w:t>
      </w:r>
      <w:r w:rsidR="0086265E">
        <w:rPr>
          <w:rFonts w:ascii="Calibri" w:hAnsi="Calibri" w:cs="Calibri"/>
          <w:sz w:val="24"/>
          <w:szCs w:val="24"/>
        </w:rPr>
        <w:t>their partnerships with Tribes, Tribal Organizations, Urban Indian</w:t>
      </w:r>
      <w:r w:rsidR="000136EF">
        <w:rPr>
          <w:rFonts w:ascii="Calibri" w:hAnsi="Calibri" w:cs="Calibri"/>
          <w:sz w:val="24"/>
          <w:szCs w:val="24"/>
        </w:rPr>
        <w:t xml:space="preserve"> Organizations, and others. The IHS is undergoing a few organizational realignments</w:t>
      </w:r>
      <w:r w:rsidR="00FC623F">
        <w:rPr>
          <w:rFonts w:ascii="Calibri" w:hAnsi="Calibri" w:cs="Calibri"/>
          <w:sz w:val="24"/>
          <w:szCs w:val="24"/>
        </w:rPr>
        <w:t>. The</w:t>
      </w:r>
      <w:r w:rsidR="0015526B">
        <w:rPr>
          <w:rFonts w:ascii="Calibri" w:hAnsi="Calibri" w:cs="Calibri"/>
          <w:sz w:val="24"/>
          <w:szCs w:val="24"/>
        </w:rPr>
        <w:t xml:space="preserve"> Office of Quality is one of the</w:t>
      </w:r>
      <w:r w:rsidR="008E298A">
        <w:rPr>
          <w:rFonts w:ascii="Calibri" w:hAnsi="Calibri" w:cs="Calibri"/>
          <w:sz w:val="24"/>
          <w:szCs w:val="24"/>
        </w:rPr>
        <w:t xml:space="preserve"> newest components of their system. </w:t>
      </w:r>
      <w:r w:rsidR="00BB58D0">
        <w:rPr>
          <w:rFonts w:ascii="Calibri" w:hAnsi="Calibri" w:cs="Calibri"/>
          <w:sz w:val="24"/>
          <w:szCs w:val="24"/>
        </w:rPr>
        <w:t>The reali</w:t>
      </w:r>
      <w:r w:rsidR="00664B34">
        <w:rPr>
          <w:rFonts w:ascii="Calibri" w:hAnsi="Calibri" w:cs="Calibri"/>
          <w:sz w:val="24"/>
          <w:szCs w:val="24"/>
        </w:rPr>
        <w:t>gnments also included the O</w:t>
      </w:r>
      <w:r w:rsidR="00933E97">
        <w:rPr>
          <w:rFonts w:ascii="Calibri" w:hAnsi="Calibri" w:cs="Calibri"/>
          <w:sz w:val="24"/>
          <w:szCs w:val="24"/>
        </w:rPr>
        <w:t xml:space="preserve">ffice of Human Resources (One HR) and the </w:t>
      </w:r>
      <w:r w:rsidR="001341E3">
        <w:rPr>
          <w:rFonts w:ascii="Calibri" w:hAnsi="Calibri" w:cs="Calibri"/>
          <w:sz w:val="24"/>
          <w:szCs w:val="24"/>
        </w:rPr>
        <w:t xml:space="preserve">Office of Information Technology. </w:t>
      </w:r>
    </w:p>
    <w:p w14:paraId="3740D6D9" w14:textId="77777777" w:rsidR="00577A39" w:rsidRDefault="00577A39" w:rsidP="001341E3">
      <w:pPr>
        <w:spacing w:after="0" w:line="240" w:lineRule="auto"/>
        <w:rPr>
          <w:rFonts w:ascii="Calibri" w:hAnsi="Calibri" w:cs="Calibri"/>
          <w:sz w:val="24"/>
          <w:szCs w:val="24"/>
        </w:rPr>
      </w:pPr>
    </w:p>
    <w:p w14:paraId="1CD58E31" w14:textId="461E55C5" w:rsidR="00577A39" w:rsidRDefault="00594919" w:rsidP="001341E3">
      <w:pPr>
        <w:spacing w:after="0" w:line="240" w:lineRule="auto"/>
      </w:pPr>
      <w:r>
        <w:t>The next iteration of the IHS strategic plan also remains a top</w:t>
      </w:r>
      <w:r w:rsidR="00D66140">
        <w:t xml:space="preserve"> priority. The</w:t>
      </w:r>
      <w:r w:rsidR="00CF5B69">
        <w:t xml:space="preserve"> current strategic</w:t>
      </w:r>
      <w:r w:rsidR="00D66140">
        <w:t xml:space="preserve"> plan includes </w:t>
      </w:r>
      <w:r w:rsidR="004E4EE7">
        <w:t>over 70 objectives</w:t>
      </w:r>
      <w:r w:rsidR="00CF5B69">
        <w:t xml:space="preserve"> that </w:t>
      </w:r>
      <w:r w:rsidR="0064030B">
        <w:t>speak to different tasks but</w:t>
      </w:r>
      <w:r w:rsidR="00CF5B69">
        <w:t xml:space="preserve"> are not </w:t>
      </w:r>
      <w:proofErr w:type="gramStart"/>
      <w:r w:rsidR="00B15DFD">
        <w:t>action-oriented</w:t>
      </w:r>
      <w:proofErr w:type="gramEnd"/>
      <w:r w:rsidR="00CF5B69">
        <w:t xml:space="preserve">. The next iteration, currently out for consultation, </w:t>
      </w:r>
      <w:r w:rsidR="00FB18E4">
        <w:t xml:space="preserve">looks more </w:t>
      </w:r>
      <w:proofErr w:type="gramStart"/>
      <w:r w:rsidR="00B15DFD">
        <w:t>action-oriented</w:t>
      </w:r>
      <w:proofErr w:type="gramEnd"/>
      <w:r w:rsidR="00FB18E4">
        <w:t xml:space="preserve">. </w:t>
      </w:r>
      <w:r w:rsidR="00747016">
        <w:t>The agency</w:t>
      </w:r>
      <w:r w:rsidR="00CF593D">
        <w:t>'</w:t>
      </w:r>
      <w:r w:rsidR="00952F4B">
        <w:t xml:space="preserve">s biggest change of note is that </w:t>
      </w:r>
      <w:r w:rsidR="0064030B">
        <w:t>it</w:t>
      </w:r>
      <w:r w:rsidR="00CC0D0C">
        <w:t xml:space="preserve"> is looking into becoming a high-reliability</w:t>
      </w:r>
      <w:r w:rsidR="00F227DF">
        <w:t xml:space="preserve"> organization</w:t>
      </w:r>
      <w:r w:rsidR="004E3862">
        <w:t xml:space="preserve"> (HRO)</w:t>
      </w:r>
      <w:r w:rsidR="00F227DF">
        <w:t xml:space="preserve">. </w:t>
      </w:r>
    </w:p>
    <w:p w14:paraId="5EFC90CD" w14:textId="77777777" w:rsidR="00DB1318" w:rsidRDefault="00DB1318" w:rsidP="001341E3">
      <w:pPr>
        <w:spacing w:after="0" w:line="240" w:lineRule="auto"/>
      </w:pPr>
    </w:p>
    <w:p w14:paraId="7158E20E" w14:textId="070286F4" w:rsidR="00DB1318" w:rsidRPr="009D1513" w:rsidRDefault="009D1513" w:rsidP="001341E3">
      <w:pPr>
        <w:spacing w:after="0" w:line="240" w:lineRule="auto"/>
        <w:rPr>
          <w:b/>
          <w:bCs/>
        </w:rPr>
      </w:pPr>
      <w:r w:rsidRPr="009D1513">
        <w:rPr>
          <w:b/>
          <w:bCs/>
        </w:rPr>
        <w:t xml:space="preserve">GAO </w:t>
      </w:r>
      <w:r>
        <w:rPr>
          <w:b/>
          <w:bCs/>
        </w:rPr>
        <w:t>High-Risk</w:t>
      </w:r>
      <w:r w:rsidRPr="009D1513">
        <w:rPr>
          <w:b/>
          <w:bCs/>
        </w:rPr>
        <w:t xml:space="preserve"> List </w:t>
      </w:r>
    </w:p>
    <w:p w14:paraId="018807F3" w14:textId="77777777" w:rsidR="00DB1318" w:rsidRDefault="00DB1318" w:rsidP="001341E3">
      <w:pPr>
        <w:spacing w:after="0" w:line="240" w:lineRule="auto"/>
      </w:pPr>
    </w:p>
    <w:p w14:paraId="4140A547" w14:textId="1FCDF73C" w:rsidR="00DB1318" w:rsidRDefault="00040D14" w:rsidP="001341E3">
      <w:pPr>
        <w:spacing w:after="0" w:line="240" w:lineRule="auto"/>
      </w:pPr>
      <w:r>
        <w:t>The IHS leadership has been very direct in its c</w:t>
      </w:r>
      <w:r w:rsidR="00C316F3">
        <w:t>ommunications with oversight bodies</w:t>
      </w:r>
      <w:r w:rsidR="001A18C6">
        <w:t xml:space="preserve"> and ambitious in scheduling </w:t>
      </w:r>
      <w:r w:rsidR="00F75558">
        <w:t>follow-up</w:t>
      </w:r>
      <w:r w:rsidR="001A18C6">
        <w:t xml:space="preserve"> conversations with the GAO</w:t>
      </w:r>
      <w:r w:rsidR="00F75558">
        <w:t xml:space="preserve">. </w:t>
      </w:r>
      <w:r w:rsidR="00756146">
        <w:t xml:space="preserve">IHS leadership will continue to meet with the GAO to </w:t>
      </w:r>
      <w:r w:rsidR="00FF7D3A">
        <w:t xml:space="preserve">continue the conversations and </w:t>
      </w:r>
      <w:r w:rsidR="00756146">
        <w:t xml:space="preserve">work towards implementing recommendations. </w:t>
      </w:r>
      <w:r w:rsidR="008A35BE">
        <w:t xml:space="preserve">The IHS is changing </w:t>
      </w:r>
      <w:r w:rsidR="00B03F5C">
        <w:t xml:space="preserve">its approach to </w:t>
      </w:r>
      <w:r w:rsidR="00BF7D19">
        <w:t>telling its story and preparing</w:t>
      </w:r>
      <w:r w:rsidR="009F55AD">
        <w:t xml:space="preserve"> for activities when the GAO or IG does come in </w:t>
      </w:r>
      <w:r w:rsidR="00F650BF">
        <w:t xml:space="preserve">to audit or review reports. </w:t>
      </w:r>
    </w:p>
    <w:p w14:paraId="46F4A3B4" w14:textId="77777777" w:rsidR="00F971C4" w:rsidRDefault="00F971C4" w:rsidP="001341E3">
      <w:pPr>
        <w:spacing w:after="0" w:line="240" w:lineRule="auto"/>
      </w:pPr>
    </w:p>
    <w:p w14:paraId="523320A1" w14:textId="2A15CCAA" w:rsidR="00F971C4" w:rsidRPr="00F971C4" w:rsidRDefault="00F971C4" w:rsidP="001341E3">
      <w:pPr>
        <w:spacing w:after="0" w:line="240" w:lineRule="auto"/>
        <w:rPr>
          <w:b/>
          <w:bCs/>
        </w:rPr>
      </w:pPr>
      <w:r w:rsidRPr="00F971C4">
        <w:rPr>
          <w:b/>
          <w:bCs/>
        </w:rPr>
        <w:t xml:space="preserve">Behavioral Health </w:t>
      </w:r>
      <w:r w:rsidR="00F83490">
        <w:rPr>
          <w:b/>
          <w:bCs/>
        </w:rPr>
        <w:t xml:space="preserve">Funding </w:t>
      </w:r>
      <w:r w:rsidRPr="00F971C4">
        <w:rPr>
          <w:b/>
          <w:bCs/>
        </w:rPr>
        <w:t>Update</w:t>
      </w:r>
    </w:p>
    <w:p w14:paraId="367C4362" w14:textId="157C8068" w:rsidR="00DB1318" w:rsidRDefault="00DB1318" w:rsidP="001341E3">
      <w:pPr>
        <w:spacing w:after="0" w:line="240" w:lineRule="auto"/>
      </w:pPr>
    </w:p>
    <w:p w14:paraId="6CA26684" w14:textId="314FFE9E" w:rsidR="00F971C4" w:rsidRPr="003638C2" w:rsidRDefault="003638C2" w:rsidP="001341E3">
      <w:pPr>
        <w:spacing w:after="0" w:line="240" w:lineRule="auto"/>
      </w:pPr>
      <w:r w:rsidRPr="003638C2">
        <w:t>Previously, t</w:t>
      </w:r>
      <w:r w:rsidR="00947B70" w:rsidRPr="003638C2">
        <w:t xml:space="preserve">he IHS decided that the behavioral health initiatives </w:t>
      </w:r>
      <w:r w:rsidR="006171DA">
        <w:t>would</w:t>
      </w:r>
      <w:r w:rsidR="00947B70" w:rsidRPr="003638C2">
        <w:t xml:space="preserve"> remain grants. </w:t>
      </w:r>
      <w:r>
        <w:t xml:space="preserve">However, they received many requests to reconsider. </w:t>
      </w:r>
      <w:r w:rsidR="00B564A3">
        <w:t xml:space="preserve">They have engaged </w:t>
      </w:r>
      <w:r w:rsidR="006171DA">
        <w:t xml:space="preserve">in consultation and urban confer on </w:t>
      </w:r>
      <w:r w:rsidR="006171DA">
        <w:lastRenderedPageBreak/>
        <w:t xml:space="preserve">this topic, and the comment period just recently closed. </w:t>
      </w:r>
      <w:r w:rsidR="00F622A8">
        <w:t>The IHS will evaluate the commen</w:t>
      </w:r>
      <w:r w:rsidR="00680E26">
        <w:t xml:space="preserve">ts and make a decision. </w:t>
      </w:r>
    </w:p>
    <w:p w14:paraId="0CE50BF8" w14:textId="77777777" w:rsidR="00DB1318" w:rsidRDefault="00DB1318" w:rsidP="001341E3">
      <w:pPr>
        <w:spacing w:after="0" w:line="240" w:lineRule="auto"/>
      </w:pPr>
    </w:p>
    <w:p w14:paraId="4EFF384F" w14:textId="05862662" w:rsidR="00DB1318" w:rsidRDefault="0059545D" w:rsidP="001341E3">
      <w:pPr>
        <w:spacing w:after="0" w:line="240" w:lineRule="auto"/>
        <w:rPr>
          <w:b/>
          <w:bCs/>
        </w:rPr>
      </w:pPr>
      <w:r w:rsidRPr="0059545D">
        <w:rPr>
          <w:b/>
          <w:bCs/>
        </w:rPr>
        <w:t xml:space="preserve">VA – IHS  Reimbursement </w:t>
      </w:r>
    </w:p>
    <w:p w14:paraId="541F9060" w14:textId="1A60A1D7" w:rsidR="0059545D" w:rsidRDefault="0059545D" w:rsidP="001341E3">
      <w:pPr>
        <w:spacing w:after="0" w:line="240" w:lineRule="auto"/>
        <w:rPr>
          <w:b/>
          <w:bCs/>
        </w:rPr>
      </w:pPr>
    </w:p>
    <w:p w14:paraId="77C1086E" w14:textId="56E6FCC5" w:rsidR="00F10DCE" w:rsidRDefault="008A09B9" w:rsidP="001341E3">
      <w:pPr>
        <w:spacing w:after="0" w:line="240" w:lineRule="auto"/>
      </w:pPr>
      <w:r w:rsidRPr="00B21FD0">
        <w:t xml:space="preserve">The IHS and VA have updated </w:t>
      </w:r>
      <w:r w:rsidR="00B21FD0" w:rsidRPr="00B21FD0">
        <w:t>their reimbursement agreement</w:t>
      </w:r>
      <w:r w:rsidR="00B21FD0">
        <w:t xml:space="preserve">. The agreement covers about 73 of the </w:t>
      </w:r>
      <w:r w:rsidR="00BA3F5B">
        <w:t xml:space="preserve">IHS federally operated sites. The updated agreement consolidated the </w:t>
      </w:r>
      <w:r w:rsidR="0003190F">
        <w:t>initial agreement from 2012 and the subsequent amendments</w:t>
      </w:r>
      <w:r w:rsidR="00FF1E5E">
        <w:t xml:space="preserve">. </w:t>
      </w:r>
      <w:r w:rsidR="00F10DCE">
        <w:t>The revised agreement does contain retroactive terms</w:t>
      </w:r>
      <w:r w:rsidR="0055267C">
        <w:t xml:space="preserve">. </w:t>
      </w:r>
    </w:p>
    <w:p w14:paraId="555BFC66" w14:textId="57ABE019" w:rsidR="008A09B9" w:rsidRPr="00B21FD0" w:rsidRDefault="00405BEB" w:rsidP="001341E3">
      <w:pPr>
        <w:spacing w:after="0" w:line="240" w:lineRule="auto"/>
      </w:pPr>
      <w:r>
        <w:t xml:space="preserve">The VA is now negotiating </w:t>
      </w:r>
      <w:r w:rsidR="00E0550D">
        <w:t xml:space="preserve">independent agreements with Tribal health programs. </w:t>
      </w:r>
    </w:p>
    <w:p w14:paraId="69CEA330" w14:textId="77777777" w:rsidR="008A09B9" w:rsidRDefault="008A09B9" w:rsidP="001341E3">
      <w:pPr>
        <w:spacing w:after="0" w:line="240" w:lineRule="auto"/>
        <w:rPr>
          <w:b/>
          <w:bCs/>
        </w:rPr>
      </w:pPr>
    </w:p>
    <w:p w14:paraId="79AE2EFA" w14:textId="2D054B91" w:rsidR="008F2E0B" w:rsidRPr="008F2E0B" w:rsidRDefault="008F2E0B" w:rsidP="001341E3">
      <w:pPr>
        <w:spacing w:after="0" w:line="240" w:lineRule="auto"/>
      </w:pPr>
      <w:r>
        <w:rPr>
          <w:b/>
          <w:bCs/>
        </w:rPr>
        <w:t xml:space="preserve">Tribal Representative Comment: </w:t>
      </w:r>
      <w:r w:rsidR="00BF4F66">
        <w:t>Our Tribal agreements did expire on June 30</w:t>
      </w:r>
      <w:r w:rsidR="00280F53">
        <w:t xml:space="preserve">, and we received the new agreement on June 25, which is unfair. </w:t>
      </w:r>
      <w:r w:rsidR="004E4996">
        <w:t xml:space="preserve">Our workgroup has been reviewing the agreements </w:t>
      </w:r>
    </w:p>
    <w:p w14:paraId="67E4A70B" w14:textId="4193C686" w:rsidR="0059545D" w:rsidRPr="00BF095B" w:rsidRDefault="00BF095B" w:rsidP="001341E3">
      <w:pPr>
        <w:spacing w:after="0" w:line="240" w:lineRule="auto"/>
      </w:pPr>
      <w:r w:rsidRPr="00BF095B">
        <w:t xml:space="preserve">and there are numerous </w:t>
      </w:r>
      <w:r>
        <w:t>in the Tribal reimbursement agreement that they propose that we agree to that aren</w:t>
      </w:r>
      <w:r w:rsidR="00CF593D">
        <w:t>'</w:t>
      </w:r>
      <w:r>
        <w:t xml:space="preserve">t in the IHS reimbursement agreement. </w:t>
      </w:r>
    </w:p>
    <w:p w14:paraId="0B37902F" w14:textId="77777777" w:rsidR="0059545D" w:rsidRDefault="0059545D" w:rsidP="001341E3">
      <w:pPr>
        <w:spacing w:after="0" w:line="240" w:lineRule="auto"/>
        <w:rPr>
          <w:b/>
          <w:bCs/>
        </w:rPr>
      </w:pPr>
    </w:p>
    <w:p w14:paraId="237208E6" w14:textId="4E117559" w:rsidR="0059545D" w:rsidRDefault="0059545D" w:rsidP="001341E3">
      <w:pPr>
        <w:spacing w:after="0" w:line="240" w:lineRule="auto"/>
        <w:rPr>
          <w:b/>
          <w:bCs/>
        </w:rPr>
      </w:pPr>
      <w:r>
        <w:rPr>
          <w:b/>
          <w:bCs/>
        </w:rPr>
        <w:t xml:space="preserve">Completing the Section 105 Guidance </w:t>
      </w:r>
    </w:p>
    <w:p w14:paraId="6FAFACF3" w14:textId="77777777" w:rsidR="00B66AB9" w:rsidRDefault="00B66AB9" w:rsidP="001341E3">
      <w:pPr>
        <w:spacing w:after="0" w:line="240" w:lineRule="auto"/>
        <w:rPr>
          <w:b/>
          <w:bCs/>
        </w:rPr>
      </w:pPr>
    </w:p>
    <w:p w14:paraId="3CB53262" w14:textId="205DBA41" w:rsidR="001067A4" w:rsidRDefault="00D965D4" w:rsidP="001341E3">
      <w:pPr>
        <w:spacing w:after="0" w:line="240" w:lineRule="auto"/>
      </w:pPr>
      <w:r w:rsidRPr="00D965D4">
        <w:t xml:space="preserve">The IHS is making progress, but it is coming at a cost. </w:t>
      </w:r>
      <w:r w:rsidR="00255A9F">
        <w:t xml:space="preserve">The staff is accumulating overtime </w:t>
      </w:r>
      <w:r w:rsidR="00D66B79">
        <w:t xml:space="preserve">with no time off. </w:t>
      </w:r>
      <w:r w:rsidR="00460AF8">
        <w:t xml:space="preserve">They </w:t>
      </w:r>
      <w:r w:rsidR="00CF593D">
        <w:t>planned</w:t>
      </w:r>
      <w:r w:rsidR="00460AF8">
        <w:t xml:space="preserve"> to move CSC and 105(l) into the Office of Finance &amp; Accounting</w:t>
      </w:r>
      <w:r w:rsidR="00DF6465">
        <w:t xml:space="preserve">; however, it is now being realigned into the existing Tribal offices. </w:t>
      </w:r>
    </w:p>
    <w:p w14:paraId="55EE387B" w14:textId="77777777" w:rsidR="001067A4" w:rsidRDefault="001067A4" w:rsidP="001341E3">
      <w:pPr>
        <w:spacing w:after="0" w:line="240" w:lineRule="auto"/>
      </w:pPr>
    </w:p>
    <w:p w14:paraId="3A116088" w14:textId="700CF4C4" w:rsidR="001067A4" w:rsidRDefault="001067A4" w:rsidP="001341E3">
      <w:pPr>
        <w:spacing w:after="0" w:line="240" w:lineRule="auto"/>
      </w:pPr>
      <w:r>
        <w:t xml:space="preserve">They have updated </w:t>
      </w:r>
      <w:r w:rsidR="00A458C5">
        <w:t xml:space="preserve">delegation authority #56. This establishes that </w:t>
      </w:r>
      <w:r w:rsidR="00C66FD5">
        <w:t xml:space="preserve">the </w:t>
      </w:r>
      <w:r w:rsidR="00784CAE">
        <w:t xml:space="preserve">Deputy Director, Deputy Director of Intergovernmental Affairs, and the Office of Direct Service </w:t>
      </w:r>
      <w:r w:rsidR="00D35205">
        <w:t xml:space="preserve">and Contracting Tribes </w:t>
      </w:r>
      <w:r w:rsidR="007768A9">
        <w:t>have</w:t>
      </w:r>
      <w:r w:rsidR="00D35205">
        <w:t xml:space="preserve"> the authority to sign the 105(l) leases </w:t>
      </w:r>
      <w:r w:rsidR="00157462">
        <w:t>in the future</w:t>
      </w:r>
      <w:r w:rsidR="00D35205">
        <w:t>.</w:t>
      </w:r>
      <w:r w:rsidR="00E143AD">
        <w:t xml:space="preserve"> Guidance documents include a policy</w:t>
      </w:r>
      <w:r w:rsidR="00E011FD">
        <w:t>, FAQ document, a</w:t>
      </w:r>
      <w:r w:rsidR="007768A9">
        <w:t>nd a</w:t>
      </w:r>
      <w:r w:rsidR="00E011FD">
        <w:t xml:space="preserve"> detailed guide </w:t>
      </w:r>
      <w:r w:rsidR="00140183">
        <w:t xml:space="preserve">are </w:t>
      </w:r>
      <w:r w:rsidR="007768A9">
        <w:t xml:space="preserve">under development. The goal is to </w:t>
      </w:r>
      <w:r w:rsidR="00140183">
        <w:t>complete those by the fiscal year's end</w:t>
      </w:r>
      <w:r w:rsidR="007768A9">
        <w:t xml:space="preserve">. </w:t>
      </w:r>
    </w:p>
    <w:p w14:paraId="0593D64D" w14:textId="77777777" w:rsidR="00140183" w:rsidRDefault="00140183" w:rsidP="001341E3">
      <w:pPr>
        <w:spacing w:after="0" w:line="240" w:lineRule="auto"/>
      </w:pPr>
    </w:p>
    <w:p w14:paraId="3A29C21D" w14:textId="2D3F87DB" w:rsidR="00140183" w:rsidRDefault="00140183" w:rsidP="001341E3">
      <w:pPr>
        <w:spacing w:after="0" w:line="240" w:lineRule="auto"/>
      </w:pPr>
      <w:r w:rsidRPr="00140183">
        <w:rPr>
          <w:b/>
          <w:bCs/>
        </w:rPr>
        <w:t>Tribal Representative Comment:</w:t>
      </w:r>
      <w:r w:rsidR="006E3440">
        <w:rPr>
          <w:b/>
          <w:bCs/>
        </w:rPr>
        <w:t xml:space="preserve"> </w:t>
      </w:r>
      <w:r w:rsidR="006E3440" w:rsidRPr="006E3440">
        <w:t>Regarding the Indian Healthcare Improvement Fund,</w:t>
      </w:r>
      <w:r w:rsidRPr="006E3440">
        <w:t xml:space="preserve"> </w:t>
      </w:r>
      <w:r w:rsidR="00074F69" w:rsidRPr="006E3440">
        <w:t>In the FY 2025 House appropriations, It look</w:t>
      </w:r>
      <w:r w:rsidR="00B4298D" w:rsidRPr="006E3440">
        <w:t xml:space="preserve">ed </w:t>
      </w:r>
      <w:r w:rsidR="00157462">
        <w:t>like</w:t>
      </w:r>
      <w:r w:rsidR="00B4298D" w:rsidRPr="006E3440">
        <w:t xml:space="preserve"> it shifted to </w:t>
      </w:r>
      <w:r w:rsidR="006E3440" w:rsidRPr="006E3440">
        <w:t xml:space="preserve">advance appropriations. </w:t>
      </w:r>
      <w:r w:rsidR="00366A58">
        <w:t>I also noticed that in the House report</w:t>
      </w:r>
      <w:r w:rsidR="001343D7">
        <w:t>,</w:t>
      </w:r>
      <w:r w:rsidR="00366A58">
        <w:t xml:space="preserve"> </w:t>
      </w:r>
      <w:r w:rsidR="002906FD">
        <w:t>an explicit statement says that</w:t>
      </w:r>
      <w:r w:rsidR="00311C78">
        <w:t xml:space="preserve"> </w:t>
      </w:r>
      <w:r w:rsidR="001343D7">
        <w:t xml:space="preserve">while you requested that </w:t>
      </w:r>
      <w:r w:rsidR="002906FD">
        <w:t xml:space="preserve">the </w:t>
      </w:r>
      <w:r w:rsidR="001343D7">
        <w:t xml:space="preserve">Indian Healthcare Improvement Fund </w:t>
      </w:r>
      <w:r w:rsidR="00E728DC">
        <w:t>be moved to HNHC</w:t>
      </w:r>
      <w:r w:rsidR="002906FD">
        <w:t>, we d</w:t>
      </w:r>
      <w:r w:rsidR="00157462">
        <w:t>is</w:t>
      </w:r>
      <w:r w:rsidR="002906FD">
        <w:t xml:space="preserve">approve. </w:t>
      </w:r>
    </w:p>
    <w:p w14:paraId="1E0C0F41" w14:textId="77777777" w:rsidR="005F0B01" w:rsidRDefault="005F0B01" w:rsidP="001341E3">
      <w:pPr>
        <w:spacing w:after="0" w:line="240" w:lineRule="auto"/>
      </w:pPr>
    </w:p>
    <w:p w14:paraId="799BB497" w14:textId="7EAF62C7" w:rsidR="005F0B01" w:rsidRPr="005F0B01" w:rsidRDefault="005F0B01" w:rsidP="001341E3">
      <w:pPr>
        <w:spacing w:after="0" w:line="240" w:lineRule="auto"/>
      </w:pPr>
      <w:r w:rsidRPr="005F0B01">
        <w:rPr>
          <w:b/>
          <w:bCs/>
        </w:rPr>
        <w:t xml:space="preserve">Federal Response: </w:t>
      </w:r>
      <w:r w:rsidRPr="005F0B01">
        <w:t xml:space="preserve">I was surprised to see that report language. </w:t>
      </w:r>
      <w:r w:rsidR="007256FD">
        <w:t xml:space="preserve">It's confusing because it seemed like we were all clear </w:t>
      </w:r>
      <w:r w:rsidR="0049102C">
        <w:t xml:space="preserve">and on the same page with the staff that </w:t>
      </w:r>
      <w:r w:rsidR="00A46EDB">
        <w:t xml:space="preserve">this </w:t>
      </w:r>
      <w:r w:rsidR="00157462">
        <w:t>was just</w:t>
      </w:r>
      <w:r w:rsidR="00A46EDB">
        <w:t xml:space="preserve"> an error from 2018 when this line was created. </w:t>
      </w:r>
      <w:r w:rsidR="000D46C9">
        <w:t>We got the advanced, and if that gets enacted, I don</w:t>
      </w:r>
      <w:r w:rsidR="00CF593D">
        <w:t>'</w:t>
      </w:r>
      <w:r w:rsidR="000D46C9">
        <w:t xml:space="preserve">t know how concerned </w:t>
      </w:r>
      <w:r w:rsidR="00C40CCC">
        <w:t xml:space="preserve">we </w:t>
      </w:r>
      <w:r w:rsidR="00EC3614">
        <w:t>will</w:t>
      </w:r>
      <w:r w:rsidR="00C40CCC">
        <w:t xml:space="preserve"> be about it moving in</w:t>
      </w:r>
      <w:r w:rsidR="00157462">
        <w:t>to</w:t>
      </w:r>
      <w:r w:rsidR="00C40CCC">
        <w:t xml:space="preserve"> the agency. </w:t>
      </w:r>
    </w:p>
    <w:sectPr w:rsidR="005F0B01" w:rsidRPr="005F0B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0FC11" w14:textId="77777777" w:rsidR="00D66140" w:rsidRDefault="00D66140" w:rsidP="00D66140">
      <w:pPr>
        <w:spacing w:after="0" w:line="240" w:lineRule="auto"/>
      </w:pPr>
      <w:r>
        <w:separator/>
      </w:r>
    </w:p>
  </w:endnote>
  <w:endnote w:type="continuationSeparator" w:id="0">
    <w:p w14:paraId="3D947871" w14:textId="77777777" w:rsidR="00D66140" w:rsidRDefault="00D66140" w:rsidP="00D66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C01CC" w14:textId="77777777" w:rsidR="00D66140" w:rsidRDefault="00D66140" w:rsidP="00D66140">
      <w:pPr>
        <w:spacing w:after="0" w:line="240" w:lineRule="auto"/>
      </w:pPr>
      <w:r>
        <w:separator/>
      </w:r>
    </w:p>
  </w:footnote>
  <w:footnote w:type="continuationSeparator" w:id="0">
    <w:p w14:paraId="4C6F9004" w14:textId="77777777" w:rsidR="00D66140" w:rsidRDefault="00D66140" w:rsidP="00D66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6827"/>
    <w:multiLevelType w:val="hybridMultilevel"/>
    <w:tmpl w:val="AE101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21E77"/>
    <w:multiLevelType w:val="hybridMultilevel"/>
    <w:tmpl w:val="C1987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411705">
    <w:abstractNumId w:val="0"/>
  </w:num>
  <w:num w:numId="2" w16cid:durableId="105738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O0NLQwN7CwMDAyNbZU0lEKTi0uzszPAykwrAUAiwAxZywAAAA="/>
  </w:docVars>
  <w:rsids>
    <w:rsidRoot w:val="002E2A22"/>
    <w:rsid w:val="00001054"/>
    <w:rsid w:val="00003DBF"/>
    <w:rsid w:val="00012C6B"/>
    <w:rsid w:val="000136EF"/>
    <w:rsid w:val="00016A2D"/>
    <w:rsid w:val="00020C56"/>
    <w:rsid w:val="00021234"/>
    <w:rsid w:val="00025456"/>
    <w:rsid w:val="0003190F"/>
    <w:rsid w:val="00033961"/>
    <w:rsid w:val="000375AA"/>
    <w:rsid w:val="00040D14"/>
    <w:rsid w:val="00043CB5"/>
    <w:rsid w:val="00055068"/>
    <w:rsid w:val="00061612"/>
    <w:rsid w:val="00072C04"/>
    <w:rsid w:val="00074F69"/>
    <w:rsid w:val="0007648C"/>
    <w:rsid w:val="00081FFB"/>
    <w:rsid w:val="00096472"/>
    <w:rsid w:val="000B3376"/>
    <w:rsid w:val="000D46C9"/>
    <w:rsid w:val="000D6208"/>
    <w:rsid w:val="000E118C"/>
    <w:rsid w:val="000E6BE2"/>
    <w:rsid w:val="000E74A7"/>
    <w:rsid w:val="001067A4"/>
    <w:rsid w:val="00121880"/>
    <w:rsid w:val="001242F9"/>
    <w:rsid w:val="00125901"/>
    <w:rsid w:val="001269F9"/>
    <w:rsid w:val="001341E3"/>
    <w:rsid w:val="001343D7"/>
    <w:rsid w:val="00140183"/>
    <w:rsid w:val="00153B2D"/>
    <w:rsid w:val="0015526B"/>
    <w:rsid w:val="00157462"/>
    <w:rsid w:val="00161EE4"/>
    <w:rsid w:val="0017008D"/>
    <w:rsid w:val="00183297"/>
    <w:rsid w:val="0018765D"/>
    <w:rsid w:val="00192CD2"/>
    <w:rsid w:val="001A0FA4"/>
    <w:rsid w:val="001A18C6"/>
    <w:rsid w:val="001A5296"/>
    <w:rsid w:val="001C38FE"/>
    <w:rsid w:val="001D0080"/>
    <w:rsid w:val="001D690E"/>
    <w:rsid w:val="001E591F"/>
    <w:rsid w:val="001F4920"/>
    <w:rsid w:val="00205C28"/>
    <w:rsid w:val="00213F0D"/>
    <w:rsid w:val="00215F34"/>
    <w:rsid w:val="00233D90"/>
    <w:rsid w:val="00234940"/>
    <w:rsid w:val="0023635E"/>
    <w:rsid w:val="0023649B"/>
    <w:rsid w:val="00242119"/>
    <w:rsid w:val="00246512"/>
    <w:rsid w:val="00252A9D"/>
    <w:rsid w:val="00255A9F"/>
    <w:rsid w:val="002571C7"/>
    <w:rsid w:val="00257827"/>
    <w:rsid w:val="00270EDD"/>
    <w:rsid w:val="00280F53"/>
    <w:rsid w:val="00282AFB"/>
    <w:rsid w:val="002906FD"/>
    <w:rsid w:val="00293428"/>
    <w:rsid w:val="002B63D0"/>
    <w:rsid w:val="002B6F25"/>
    <w:rsid w:val="002C3063"/>
    <w:rsid w:val="002E2A22"/>
    <w:rsid w:val="002E30B0"/>
    <w:rsid w:val="00304122"/>
    <w:rsid w:val="00311C78"/>
    <w:rsid w:val="003144BF"/>
    <w:rsid w:val="00352193"/>
    <w:rsid w:val="003638C2"/>
    <w:rsid w:val="00366A58"/>
    <w:rsid w:val="0037111D"/>
    <w:rsid w:val="00385C5F"/>
    <w:rsid w:val="003B15DF"/>
    <w:rsid w:val="003B3279"/>
    <w:rsid w:val="003B4627"/>
    <w:rsid w:val="003D545D"/>
    <w:rsid w:val="003E73F8"/>
    <w:rsid w:val="003F1DA0"/>
    <w:rsid w:val="004035C2"/>
    <w:rsid w:val="00405BEB"/>
    <w:rsid w:val="00410A3D"/>
    <w:rsid w:val="00411720"/>
    <w:rsid w:val="0041206C"/>
    <w:rsid w:val="00412F23"/>
    <w:rsid w:val="00416B7B"/>
    <w:rsid w:val="004239FC"/>
    <w:rsid w:val="00442044"/>
    <w:rsid w:val="00460AF8"/>
    <w:rsid w:val="00474126"/>
    <w:rsid w:val="004746DD"/>
    <w:rsid w:val="0048526B"/>
    <w:rsid w:val="0049102C"/>
    <w:rsid w:val="004A480A"/>
    <w:rsid w:val="004C0D55"/>
    <w:rsid w:val="004D7B29"/>
    <w:rsid w:val="004E3862"/>
    <w:rsid w:val="004E4996"/>
    <w:rsid w:val="004E4EE7"/>
    <w:rsid w:val="00510A49"/>
    <w:rsid w:val="0051263F"/>
    <w:rsid w:val="00513EC1"/>
    <w:rsid w:val="00517773"/>
    <w:rsid w:val="00523F1F"/>
    <w:rsid w:val="005334A3"/>
    <w:rsid w:val="00536710"/>
    <w:rsid w:val="00545EAC"/>
    <w:rsid w:val="00547F7C"/>
    <w:rsid w:val="0055237C"/>
    <w:rsid w:val="0055267C"/>
    <w:rsid w:val="00556081"/>
    <w:rsid w:val="00557F06"/>
    <w:rsid w:val="00562FE1"/>
    <w:rsid w:val="0057630C"/>
    <w:rsid w:val="00577A39"/>
    <w:rsid w:val="00594919"/>
    <w:rsid w:val="0059545D"/>
    <w:rsid w:val="005A01F0"/>
    <w:rsid w:val="005A321A"/>
    <w:rsid w:val="005A4C32"/>
    <w:rsid w:val="005B0E42"/>
    <w:rsid w:val="005D0335"/>
    <w:rsid w:val="005D4419"/>
    <w:rsid w:val="005F0B01"/>
    <w:rsid w:val="005F4395"/>
    <w:rsid w:val="005F7CC0"/>
    <w:rsid w:val="0060472E"/>
    <w:rsid w:val="006171DA"/>
    <w:rsid w:val="00621C4A"/>
    <w:rsid w:val="0062540B"/>
    <w:rsid w:val="00631B8F"/>
    <w:rsid w:val="0064030B"/>
    <w:rsid w:val="00640BFB"/>
    <w:rsid w:val="00647B93"/>
    <w:rsid w:val="006629CC"/>
    <w:rsid w:val="00664B34"/>
    <w:rsid w:val="00674304"/>
    <w:rsid w:val="00680A55"/>
    <w:rsid w:val="00680E26"/>
    <w:rsid w:val="00682DA7"/>
    <w:rsid w:val="006A3F7B"/>
    <w:rsid w:val="006D17C1"/>
    <w:rsid w:val="006E3440"/>
    <w:rsid w:val="006F64DE"/>
    <w:rsid w:val="00701104"/>
    <w:rsid w:val="00701762"/>
    <w:rsid w:val="007100C5"/>
    <w:rsid w:val="007256FD"/>
    <w:rsid w:val="00734F88"/>
    <w:rsid w:val="00736567"/>
    <w:rsid w:val="00737888"/>
    <w:rsid w:val="007413A5"/>
    <w:rsid w:val="007458F6"/>
    <w:rsid w:val="00747016"/>
    <w:rsid w:val="00750814"/>
    <w:rsid w:val="00756146"/>
    <w:rsid w:val="00767886"/>
    <w:rsid w:val="007700A6"/>
    <w:rsid w:val="007768A9"/>
    <w:rsid w:val="00784CAE"/>
    <w:rsid w:val="00786882"/>
    <w:rsid w:val="007B3839"/>
    <w:rsid w:val="007D365E"/>
    <w:rsid w:val="007D6403"/>
    <w:rsid w:val="007E2392"/>
    <w:rsid w:val="007F0A49"/>
    <w:rsid w:val="007F7CF3"/>
    <w:rsid w:val="00802890"/>
    <w:rsid w:val="00816DCE"/>
    <w:rsid w:val="00817564"/>
    <w:rsid w:val="0082003A"/>
    <w:rsid w:val="00835968"/>
    <w:rsid w:val="0085468C"/>
    <w:rsid w:val="00854770"/>
    <w:rsid w:val="0086265E"/>
    <w:rsid w:val="008734A1"/>
    <w:rsid w:val="008740EA"/>
    <w:rsid w:val="008775A2"/>
    <w:rsid w:val="00883721"/>
    <w:rsid w:val="00883D4C"/>
    <w:rsid w:val="008A09B9"/>
    <w:rsid w:val="008A35BE"/>
    <w:rsid w:val="008A5CD0"/>
    <w:rsid w:val="008B1BB2"/>
    <w:rsid w:val="008D2DC2"/>
    <w:rsid w:val="008E03ED"/>
    <w:rsid w:val="008E298A"/>
    <w:rsid w:val="008F2E0B"/>
    <w:rsid w:val="008F6BB1"/>
    <w:rsid w:val="00903FEB"/>
    <w:rsid w:val="00904E10"/>
    <w:rsid w:val="0091046C"/>
    <w:rsid w:val="00910D9B"/>
    <w:rsid w:val="00924731"/>
    <w:rsid w:val="00925181"/>
    <w:rsid w:val="00925D1C"/>
    <w:rsid w:val="00927620"/>
    <w:rsid w:val="00933E97"/>
    <w:rsid w:val="00947B70"/>
    <w:rsid w:val="00952F4B"/>
    <w:rsid w:val="00964F6B"/>
    <w:rsid w:val="00973EE5"/>
    <w:rsid w:val="00974558"/>
    <w:rsid w:val="00977DFC"/>
    <w:rsid w:val="009A0B19"/>
    <w:rsid w:val="009D1513"/>
    <w:rsid w:val="009E0068"/>
    <w:rsid w:val="009F110B"/>
    <w:rsid w:val="009F55AD"/>
    <w:rsid w:val="009F79D9"/>
    <w:rsid w:val="00A00D0C"/>
    <w:rsid w:val="00A01437"/>
    <w:rsid w:val="00A10D67"/>
    <w:rsid w:val="00A11042"/>
    <w:rsid w:val="00A232BA"/>
    <w:rsid w:val="00A24C80"/>
    <w:rsid w:val="00A2553D"/>
    <w:rsid w:val="00A446FD"/>
    <w:rsid w:val="00A458C5"/>
    <w:rsid w:val="00A45C11"/>
    <w:rsid w:val="00A46EDB"/>
    <w:rsid w:val="00A577D7"/>
    <w:rsid w:val="00A85122"/>
    <w:rsid w:val="00AB2061"/>
    <w:rsid w:val="00AB4605"/>
    <w:rsid w:val="00AC422A"/>
    <w:rsid w:val="00AE3B5E"/>
    <w:rsid w:val="00AE7805"/>
    <w:rsid w:val="00AF00BB"/>
    <w:rsid w:val="00AF16D9"/>
    <w:rsid w:val="00AF6F3D"/>
    <w:rsid w:val="00B03F5C"/>
    <w:rsid w:val="00B11A0E"/>
    <w:rsid w:val="00B15DFD"/>
    <w:rsid w:val="00B21FD0"/>
    <w:rsid w:val="00B231F4"/>
    <w:rsid w:val="00B2424F"/>
    <w:rsid w:val="00B27A0B"/>
    <w:rsid w:val="00B31FB5"/>
    <w:rsid w:val="00B4298D"/>
    <w:rsid w:val="00B45013"/>
    <w:rsid w:val="00B4713A"/>
    <w:rsid w:val="00B564A3"/>
    <w:rsid w:val="00B643B6"/>
    <w:rsid w:val="00B66AB9"/>
    <w:rsid w:val="00BA3F5B"/>
    <w:rsid w:val="00BB48F5"/>
    <w:rsid w:val="00BB58D0"/>
    <w:rsid w:val="00BB623C"/>
    <w:rsid w:val="00BD13E9"/>
    <w:rsid w:val="00BD55C8"/>
    <w:rsid w:val="00BE5E2D"/>
    <w:rsid w:val="00BF095B"/>
    <w:rsid w:val="00BF196D"/>
    <w:rsid w:val="00BF34C3"/>
    <w:rsid w:val="00BF3DAD"/>
    <w:rsid w:val="00BF4F66"/>
    <w:rsid w:val="00BF7D19"/>
    <w:rsid w:val="00C11CA9"/>
    <w:rsid w:val="00C12BCA"/>
    <w:rsid w:val="00C316F3"/>
    <w:rsid w:val="00C40CCC"/>
    <w:rsid w:val="00C57670"/>
    <w:rsid w:val="00C66FD5"/>
    <w:rsid w:val="00C7125E"/>
    <w:rsid w:val="00C74AE1"/>
    <w:rsid w:val="00C82ED7"/>
    <w:rsid w:val="00C9107D"/>
    <w:rsid w:val="00CA0AA5"/>
    <w:rsid w:val="00CB08F7"/>
    <w:rsid w:val="00CC0D0C"/>
    <w:rsid w:val="00CF593D"/>
    <w:rsid w:val="00CF5B69"/>
    <w:rsid w:val="00D06D7D"/>
    <w:rsid w:val="00D1047C"/>
    <w:rsid w:val="00D16007"/>
    <w:rsid w:val="00D2569C"/>
    <w:rsid w:val="00D335C1"/>
    <w:rsid w:val="00D35205"/>
    <w:rsid w:val="00D41999"/>
    <w:rsid w:val="00D56A74"/>
    <w:rsid w:val="00D572F8"/>
    <w:rsid w:val="00D64E46"/>
    <w:rsid w:val="00D66140"/>
    <w:rsid w:val="00D66B79"/>
    <w:rsid w:val="00D72F85"/>
    <w:rsid w:val="00D77153"/>
    <w:rsid w:val="00D85F88"/>
    <w:rsid w:val="00D93480"/>
    <w:rsid w:val="00D965D4"/>
    <w:rsid w:val="00DA5FE6"/>
    <w:rsid w:val="00DB090F"/>
    <w:rsid w:val="00DB1318"/>
    <w:rsid w:val="00DB1BDD"/>
    <w:rsid w:val="00DC09A3"/>
    <w:rsid w:val="00DD2D63"/>
    <w:rsid w:val="00DE022A"/>
    <w:rsid w:val="00DF1C61"/>
    <w:rsid w:val="00DF6465"/>
    <w:rsid w:val="00E011FD"/>
    <w:rsid w:val="00E035A2"/>
    <w:rsid w:val="00E03B56"/>
    <w:rsid w:val="00E0550D"/>
    <w:rsid w:val="00E143AD"/>
    <w:rsid w:val="00E14C87"/>
    <w:rsid w:val="00E20D32"/>
    <w:rsid w:val="00E24B68"/>
    <w:rsid w:val="00E357C7"/>
    <w:rsid w:val="00E41D82"/>
    <w:rsid w:val="00E42E3F"/>
    <w:rsid w:val="00E44678"/>
    <w:rsid w:val="00E619FC"/>
    <w:rsid w:val="00E62232"/>
    <w:rsid w:val="00E728DC"/>
    <w:rsid w:val="00E734C9"/>
    <w:rsid w:val="00E83793"/>
    <w:rsid w:val="00E90AD4"/>
    <w:rsid w:val="00E92AF2"/>
    <w:rsid w:val="00E94D81"/>
    <w:rsid w:val="00EA0BDF"/>
    <w:rsid w:val="00EC3614"/>
    <w:rsid w:val="00EC718C"/>
    <w:rsid w:val="00ED3EC9"/>
    <w:rsid w:val="00EF118F"/>
    <w:rsid w:val="00EF181C"/>
    <w:rsid w:val="00EF24E8"/>
    <w:rsid w:val="00F10DCE"/>
    <w:rsid w:val="00F11D55"/>
    <w:rsid w:val="00F11E98"/>
    <w:rsid w:val="00F227DF"/>
    <w:rsid w:val="00F22AFA"/>
    <w:rsid w:val="00F2326B"/>
    <w:rsid w:val="00F23772"/>
    <w:rsid w:val="00F345C6"/>
    <w:rsid w:val="00F36EB6"/>
    <w:rsid w:val="00F41823"/>
    <w:rsid w:val="00F5078E"/>
    <w:rsid w:val="00F55B8D"/>
    <w:rsid w:val="00F622A8"/>
    <w:rsid w:val="00F650BF"/>
    <w:rsid w:val="00F725FA"/>
    <w:rsid w:val="00F7489F"/>
    <w:rsid w:val="00F75558"/>
    <w:rsid w:val="00F82A26"/>
    <w:rsid w:val="00F83490"/>
    <w:rsid w:val="00F927F6"/>
    <w:rsid w:val="00F960B1"/>
    <w:rsid w:val="00F971C4"/>
    <w:rsid w:val="00FA60B4"/>
    <w:rsid w:val="00FB18E4"/>
    <w:rsid w:val="00FB7C48"/>
    <w:rsid w:val="00FC2DE6"/>
    <w:rsid w:val="00FC623F"/>
    <w:rsid w:val="00FD49CD"/>
    <w:rsid w:val="00FD6666"/>
    <w:rsid w:val="00FD68A8"/>
    <w:rsid w:val="00FE452A"/>
    <w:rsid w:val="00FE58C0"/>
    <w:rsid w:val="00FF1E5E"/>
    <w:rsid w:val="00FF2A90"/>
    <w:rsid w:val="00FF39A4"/>
    <w:rsid w:val="00FF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9E139"/>
  <w15:chartTrackingRefBased/>
  <w15:docId w15:val="{34F8769C-64C6-4122-ABF9-2A07D739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22"/>
  </w:style>
  <w:style w:type="paragraph" w:styleId="Heading1">
    <w:name w:val="heading 1"/>
    <w:basedOn w:val="Normal"/>
    <w:next w:val="Normal"/>
    <w:link w:val="Heading1Char"/>
    <w:uiPriority w:val="9"/>
    <w:qFormat/>
    <w:rsid w:val="002E2A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A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A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A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A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A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A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A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A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A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A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A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A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A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A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A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A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A22"/>
    <w:rPr>
      <w:rFonts w:eastAsiaTheme="majorEastAsia" w:cstheme="majorBidi"/>
      <w:color w:val="272727" w:themeColor="text1" w:themeTint="D8"/>
    </w:rPr>
  </w:style>
  <w:style w:type="paragraph" w:styleId="Title">
    <w:name w:val="Title"/>
    <w:basedOn w:val="Normal"/>
    <w:next w:val="Normal"/>
    <w:link w:val="TitleChar"/>
    <w:uiPriority w:val="10"/>
    <w:qFormat/>
    <w:rsid w:val="002E2A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A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A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A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A22"/>
    <w:pPr>
      <w:spacing w:before="160"/>
      <w:jc w:val="center"/>
    </w:pPr>
    <w:rPr>
      <w:i/>
      <w:iCs/>
      <w:color w:val="404040" w:themeColor="text1" w:themeTint="BF"/>
    </w:rPr>
  </w:style>
  <w:style w:type="character" w:customStyle="1" w:styleId="QuoteChar">
    <w:name w:val="Quote Char"/>
    <w:basedOn w:val="DefaultParagraphFont"/>
    <w:link w:val="Quote"/>
    <w:uiPriority w:val="29"/>
    <w:rsid w:val="002E2A22"/>
    <w:rPr>
      <w:i/>
      <w:iCs/>
      <w:color w:val="404040" w:themeColor="text1" w:themeTint="BF"/>
    </w:rPr>
  </w:style>
  <w:style w:type="paragraph" w:styleId="ListParagraph">
    <w:name w:val="List Paragraph"/>
    <w:basedOn w:val="Normal"/>
    <w:uiPriority w:val="34"/>
    <w:qFormat/>
    <w:rsid w:val="002E2A22"/>
    <w:pPr>
      <w:ind w:left="720"/>
      <w:contextualSpacing/>
    </w:pPr>
  </w:style>
  <w:style w:type="character" w:styleId="IntenseEmphasis">
    <w:name w:val="Intense Emphasis"/>
    <w:basedOn w:val="DefaultParagraphFont"/>
    <w:uiPriority w:val="21"/>
    <w:qFormat/>
    <w:rsid w:val="002E2A22"/>
    <w:rPr>
      <w:i/>
      <w:iCs/>
      <w:color w:val="0F4761" w:themeColor="accent1" w:themeShade="BF"/>
    </w:rPr>
  </w:style>
  <w:style w:type="paragraph" w:styleId="IntenseQuote">
    <w:name w:val="Intense Quote"/>
    <w:basedOn w:val="Normal"/>
    <w:next w:val="Normal"/>
    <w:link w:val="IntenseQuoteChar"/>
    <w:uiPriority w:val="30"/>
    <w:qFormat/>
    <w:rsid w:val="002E2A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A22"/>
    <w:rPr>
      <w:i/>
      <w:iCs/>
      <w:color w:val="0F4761" w:themeColor="accent1" w:themeShade="BF"/>
    </w:rPr>
  </w:style>
  <w:style w:type="character" w:styleId="IntenseReference">
    <w:name w:val="Intense Reference"/>
    <w:basedOn w:val="DefaultParagraphFont"/>
    <w:uiPriority w:val="32"/>
    <w:qFormat/>
    <w:rsid w:val="002E2A22"/>
    <w:rPr>
      <w:b/>
      <w:bCs/>
      <w:smallCaps/>
      <w:color w:val="0F4761" w:themeColor="accent1" w:themeShade="BF"/>
      <w:spacing w:val="5"/>
    </w:rPr>
  </w:style>
  <w:style w:type="character" w:styleId="Hyperlink">
    <w:name w:val="Hyperlink"/>
    <w:basedOn w:val="DefaultParagraphFont"/>
    <w:uiPriority w:val="99"/>
    <w:unhideWhenUsed/>
    <w:rsid w:val="00BD55C8"/>
    <w:rPr>
      <w:color w:val="467886" w:themeColor="hyperlink"/>
      <w:u w:val="single"/>
    </w:rPr>
  </w:style>
  <w:style w:type="character" w:styleId="UnresolvedMention">
    <w:name w:val="Unresolved Mention"/>
    <w:basedOn w:val="DefaultParagraphFont"/>
    <w:uiPriority w:val="99"/>
    <w:semiHidden/>
    <w:unhideWhenUsed/>
    <w:rsid w:val="00BD55C8"/>
    <w:rPr>
      <w:color w:val="605E5C"/>
      <w:shd w:val="clear" w:color="auto" w:fill="E1DFDD"/>
    </w:rPr>
  </w:style>
  <w:style w:type="paragraph" w:styleId="Header">
    <w:name w:val="header"/>
    <w:basedOn w:val="Normal"/>
    <w:link w:val="HeaderChar"/>
    <w:uiPriority w:val="99"/>
    <w:unhideWhenUsed/>
    <w:rsid w:val="00D66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40"/>
  </w:style>
  <w:style w:type="paragraph" w:styleId="Footer">
    <w:name w:val="footer"/>
    <w:basedOn w:val="Normal"/>
    <w:link w:val="FooterChar"/>
    <w:uiPriority w:val="99"/>
    <w:unhideWhenUsed/>
    <w:rsid w:val="00D66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balselfgov.org/advisory-committees/tsgac/" TargetMode="Externa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hs.gov/strategicplan/"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customXml" Target="ink/ink3.xml"/><Relationship Id="rId10" Type="http://schemas.openxmlformats.org/officeDocument/2006/relationships/hyperlink" Target="https://www.hhs.gov/about/agencies/asfr/grants-quality-service-management-office/index.html" TargetMode="External"/><Relationship Id="rId4" Type="http://schemas.openxmlformats.org/officeDocument/2006/relationships/webSettings" Target="webSettings.xml"/><Relationship Id="rId9" Type="http://schemas.openxmlformats.org/officeDocument/2006/relationships/hyperlink" Target="mailto:cyndif@senseinc.com" TargetMode="Externa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1T18:01:23.612"/>
    </inkml:context>
    <inkml:brush xml:id="br0">
      <inkml:brushProperty name="width" value="0.025" units="cm"/>
      <inkml:brushProperty name="height" value="0.15" units="cm"/>
      <inkml:brushProperty name="ignorePressure" value="1"/>
      <inkml:brushProperty name="inkEffects" value="pencil"/>
    </inkml:brush>
  </inkml:definitions>
  <inkml:trace contextRef="#ctx0" brushRef="#br0">47 1,'-20'14,"-7"6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1T18:01:23.293"/>
    </inkml:context>
    <inkml:brush xml:id="br0">
      <inkml:brushProperty name="width" value="0.025" units="cm"/>
      <inkml:brushProperty name="height" value="0.15" units="cm"/>
      <inkml:brushProperty name="ignorePressure" value="1"/>
      <inkml:brushProperty name="inkEffects" value="pencil"/>
    </inkml:brush>
  </inkml:definitions>
  <inkml:trace contextRef="#ctx0" brushRef="#br0">1 1,'0'0,"0"0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8-01T18:01:20.101"/>
    </inkml:context>
    <inkml:brush xml:id="br0">
      <inkml:brushProperty name="width" value="0.025" units="cm"/>
      <inkml:brushProperty name="height" value="0.15" units="cm"/>
      <inkml:brushProperty name="ignorePressure" value="1"/>
      <inkml:brushProperty name="inkEffects" value="pencil"/>
    </inkml:brush>
  </inkml:definitions>
  <inkml:trace contextRef="#ctx0" brushRef="#br0">20 3790,'-12'-111,"5"-76,15-51,18-31,19-15,12-1,9 13,1 22,-6 30,-5 30,-10 31,-8 28,-8 22,-8 15,-3 12,-2 5,-1 5,0 4,-1-1,1 2,0 5,-2 5,-1 6,-2 6,0 3,-1 3,0 2,0 2,1-1,4 2,7 1,5 0,3 4,-5 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2612</Words>
  <Characters>14343</Characters>
  <Application>Microsoft Office Word</Application>
  <DocSecurity>0</DocSecurity>
  <Lines>305</Lines>
  <Paragraphs>112</Paragraphs>
  <ScaleCrop>false</ScaleCrop>
  <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Jansen</dc:creator>
  <cp:keywords/>
  <dc:description/>
  <cp:lastModifiedBy>Travis Jansen</cp:lastModifiedBy>
  <cp:revision>2</cp:revision>
  <dcterms:created xsi:type="dcterms:W3CDTF">2024-08-01T19:32:00Z</dcterms:created>
  <dcterms:modified xsi:type="dcterms:W3CDTF">2024-08-01T19:32:00Z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cbc76915-b5d7-4d6c-9f29-313a8b3a92b2</vt:lpwstr>
  </property>
</Properties>
</file>